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50E" w:rsidRDefault="009C4D74">
      <w:pPr>
        <w:spacing w:line="360" w:lineRule="auto"/>
        <w:jc w:val="center"/>
        <w:rPr>
          <w:rFonts w:hAnsi="宋体" w:cs="宋体"/>
          <w:b/>
          <w:bCs/>
          <w:kern w:val="0"/>
          <w:sz w:val="30"/>
          <w:szCs w:val="30"/>
        </w:rPr>
      </w:pPr>
      <w:r>
        <w:rPr>
          <w:rFonts w:hAnsi="宋体" w:cs="宋体" w:hint="eastAsia"/>
          <w:b/>
          <w:bCs/>
          <w:kern w:val="0"/>
          <w:sz w:val="30"/>
          <w:szCs w:val="30"/>
        </w:rPr>
        <w:t>中国锻压协会</w:t>
      </w:r>
      <w:r w:rsidR="00AF693D">
        <w:rPr>
          <w:rFonts w:hAnsi="宋体" w:cs="宋体"/>
          <w:b/>
          <w:bCs/>
          <w:kern w:val="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8770AF">
        <w:rPr>
          <w:rFonts w:hAnsi="宋体" w:cs="宋体"/>
          <w:b/>
          <w:bCs/>
          <w:kern w:val="0"/>
          <w:sz w:val="30"/>
          <w:szCs w:val="30"/>
        </w:rPr>
        <w:instrText>ADDIN CNKISM.UserStyle</w:instrText>
      </w:r>
      <w:r w:rsidR="00AF693D">
        <w:rPr>
          <w:rFonts w:hAnsi="宋体" w:cs="宋体"/>
          <w:b/>
          <w:bCs/>
          <w:kern w:val="0"/>
          <w:sz w:val="30"/>
          <w:szCs w:val="30"/>
        </w:rPr>
      </w:r>
      <w:r w:rsidR="00AF693D">
        <w:rPr>
          <w:rFonts w:hAnsi="宋体" w:cs="宋体"/>
          <w:b/>
          <w:bCs/>
          <w:kern w:val="0"/>
          <w:sz w:val="30"/>
          <w:szCs w:val="30"/>
        </w:rPr>
        <w:fldChar w:fldCharType="end"/>
      </w:r>
      <w:r w:rsidR="008770AF">
        <w:rPr>
          <w:rFonts w:hAnsi="宋体" w:cs="宋体" w:hint="eastAsia"/>
          <w:b/>
          <w:bCs/>
          <w:kern w:val="0"/>
          <w:sz w:val="30"/>
          <w:szCs w:val="30"/>
        </w:rPr>
        <w:t>《高速电气化铁路接触网铝合金锻件通用技术条件》编制说明</w:t>
      </w:r>
      <w:r w:rsidR="00EA7A69">
        <w:rPr>
          <w:rFonts w:hAnsi="宋体" w:cs="宋体" w:hint="eastAsia"/>
          <w:b/>
          <w:bCs/>
          <w:kern w:val="0"/>
          <w:sz w:val="30"/>
          <w:szCs w:val="30"/>
        </w:rPr>
        <w:t>（征求意见稿）</w:t>
      </w:r>
    </w:p>
    <w:p w:rsidR="0038250E" w:rsidRDefault="008770AF">
      <w:pPr>
        <w:numPr>
          <w:ilvl w:val="0"/>
          <w:numId w:val="2"/>
        </w:numPr>
        <w:spacing w:line="360" w:lineRule="auto"/>
        <w:rPr>
          <w:rFonts w:hAnsi="宋体" w:cs="宋体"/>
          <w:b/>
          <w:bCs/>
          <w:kern w:val="0"/>
          <w:sz w:val="24"/>
        </w:rPr>
      </w:pPr>
      <w:r>
        <w:rPr>
          <w:rFonts w:hAnsi="宋体" w:cs="宋体" w:hint="eastAsia"/>
          <w:b/>
          <w:bCs/>
          <w:kern w:val="0"/>
          <w:sz w:val="24"/>
        </w:rPr>
        <w:t>工作简况</w:t>
      </w:r>
    </w:p>
    <w:p w:rsidR="0038250E" w:rsidRDefault="008770AF">
      <w:pPr>
        <w:numPr>
          <w:ilvl w:val="0"/>
          <w:numId w:val="3"/>
        </w:numPr>
        <w:spacing w:line="360" w:lineRule="auto"/>
        <w:rPr>
          <w:rFonts w:hAnsi="宋体" w:cs="宋体"/>
          <w:b/>
          <w:bCs/>
          <w:kern w:val="0"/>
          <w:sz w:val="24"/>
        </w:rPr>
      </w:pPr>
      <w:r>
        <w:rPr>
          <w:rFonts w:hAnsi="宋体" w:cs="宋体" w:hint="eastAsia"/>
          <w:b/>
          <w:bCs/>
          <w:kern w:val="0"/>
          <w:sz w:val="24"/>
        </w:rPr>
        <w:t>任务来源</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随着我国高速电气化铁路运营时速与里程的不断增长，接触网零部件需求量与日俱增。铝合金具有密度低、塑性好、电阻率低、耐腐蚀性能好等优点，是高速电气化铁路接触网零件的关键结构材料，随着列车运营时速的不断提高，对接触网系统关键铝合金锻件的力学性能提出了更高的要求，以保障在高速运行条件下的安全。</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目前国内外缺少对高速电气化铁路接触网铝合金精密锻件相关技术的系统性研究，也没有制定高速电气化铁路接触网铝合金精密锻件相关国际、国家及行业标准。时至今日，高速电气化铁路接触网铝合金锻件材料选型、锻造成型、热处理、检验、包装等工艺规范等要求都缺乏统一的技术规范，各生产厂家按照各自理想化的标准，质量参差不齐，严重影响了高速电气化铁路接触网装备的普适性。</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因此，有必要针对高速电气化铁路接触网铝合金精密锻件的原材料、锻造工艺、热处理工艺、</w:t>
      </w:r>
      <w:r>
        <w:rPr>
          <w:rFonts w:ascii="Times New Roman" w:hAnsi="Times New Roman" w:cs="Times New Roman" w:hint="eastAsia"/>
          <w:bCs/>
          <w:sz w:val="24"/>
        </w:rPr>
        <w:t>抛丸工艺和检验方法</w:t>
      </w:r>
      <w:r>
        <w:rPr>
          <w:rFonts w:ascii="Times New Roman" w:eastAsia="宋体" w:hAnsi="Times New Roman" w:cs="宋体" w:hint="eastAsia"/>
          <w:sz w:val="24"/>
        </w:rPr>
        <w:t>等技术要求制定标准，规范企业的设计、生产、检验等工艺过程，加强各企业间的技术交流，打破进口产品在高速电气化铁路接触网技术装备方面的壁垒，提高国产接触网核心零部件在国际市场上的竞争力。</w:t>
      </w:r>
    </w:p>
    <w:p w:rsidR="0038250E" w:rsidRDefault="008770AF">
      <w:pPr>
        <w:numPr>
          <w:ilvl w:val="0"/>
          <w:numId w:val="3"/>
        </w:numPr>
        <w:spacing w:line="360" w:lineRule="auto"/>
        <w:rPr>
          <w:rFonts w:hAnsi="宋体" w:cs="宋体"/>
          <w:b/>
          <w:bCs/>
          <w:kern w:val="0"/>
          <w:sz w:val="24"/>
        </w:rPr>
      </w:pPr>
      <w:r>
        <w:rPr>
          <w:rFonts w:hAnsi="宋体" w:cs="宋体" w:hint="eastAsia"/>
          <w:b/>
          <w:bCs/>
          <w:kern w:val="0"/>
          <w:sz w:val="24"/>
        </w:rPr>
        <w:t>主要参加单位和工作组成员及其所做的工作</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本标准由中铁建电气化局集团轨道交通器材有限公司牵头，中国铁路设计集团有限公司、</w:t>
      </w:r>
      <w:r>
        <w:rPr>
          <w:rFonts w:ascii="Times New Roman" w:eastAsia="宋体" w:hAnsi="Times New Roman" w:cs="宋体" w:hint="eastAsia"/>
          <w:sz w:val="24"/>
          <w:lang w:val="zh-CN"/>
        </w:rPr>
        <w:t>中国铁路成都局集团有限公司、</w:t>
      </w:r>
      <w:r>
        <w:rPr>
          <w:rFonts w:ascii="Times New Roman" w:eastAsia="宋体" w:hAnsi="Times New Roman" w:cs="宋体" w:hint="eastAsia"/>
          <w:sz w:val="24"/>
        </w:rPr>
        <w:t>江苏龙城精锻集团有限公司、江苏海力铝业科技有限公司共同承担了《高速电气化铁路接触网铝合金锻件通用技术条件》团体标准的编制。</w:t>
      </w:r>
    </w:p>
    <w:p w:rsidR="0038250E" w:rsidRDefault="008770AF">
      <w:pPr>
        <w:numPr>
          <w:ilvl w:val="0"/>
          <w:numId w:val="3"/>
        </w:numPr>
        <w:spacing w:line="360" w:lineRule="auto"/>
        <w:rPr>
          <w:rFonts w:hAnsi="宋体" w:cs="宋体"/>
          <w:b/>
          <w:bCs/>
          <w:kern w:val="0"/>
          <w:sz w:val="24"/>
        </w:rPr>
      </w:pPr>
      <w:r>
        <w:rPr>
          <w:rFonts w:hAnsi="宋体" w:cs="宋体" w:hint="eastAsia"/>
          <w:b/>
          <w:bCs/>
          <w:kern w:val="0"/>
          <w:sz w:val="24"/>
        </w:rPr>
        <w:t>主要工作过程</w:t>
      </w:r>
    </w:p>
    <w:p w:rsidR="0038250E" w:rsidRDefault="008770AF">
      <w:pPr>
        <w:spacing w:line="360" w:lineRule="auto"/>
        <w:ind w:firstLineChars="200" w:firstLine="480"/>
        <w:rPr>
          <w:rFonts w:ascii="Times New Roman" w:eastAsia="宋体" w:hAnsi="Times New Roman" w:cs="宋体"/>
          <w:sz w:val="24"/>
          <w:lang w:val="zh-CN"/>
        </w:rPr>
      </w:pPr>
      <w:r>
        <w:rPr>
          <w:rFonts w:ascii="Times New Roman" w:eastAsia="宋体" w:hAnsi="Times New Roman" w:cs="宋体" w:hint="eastAsia"/>
          <w:sz w:val="24"/>
        </w:rPr>
        <w:t>1</w:t>
      </w:r>
      <w:r>
        <w:rPr>
          <w:rFonts w:ascii="Times New Roman" w:eastAsia="宋体" w:hAnsi="Times New Roman" w:cs="宋体" w:hint="eastAsia"/>
          <w:sz w:val="24"/>
        </w:rPr>
        <w:t>）</w:t>
      </w:r>
      <w:r>
        <w:rPr>
          <w:rFonts w:ascii="Times New Roman" w:eastAsia="宋体" w:hAnsi="Times New Roman" w:cs="宋体" w:hint="eastAsia"/>
          <w:sz w:val="24"/>
          <w:lang w:val="zh-CN"/>
        </w:rPr>
        <w:t>20</w:t>
      </w:r>
      <w:r>
        <w:rPr>
          <w:rFonts w:ascii="Times New Roman" w:eastAsia="宋体" w:hAnsi="Times New Roman" w:cs="宋体" w:hint="eastAsia"/>
          <w:sz w:val="24"/>
        </w:rPr>
        <w:t>23</w:t>
      </w:r>
      <w:r>
        <w:rPr>
          <w:rFonts w:ascii="Times New Roman" w:eastAsia="宋体" w:hAnsi="Times New Roman" w:cs="宋体" w:hint="eastAsia"/>
          <w:sz w:val="24"/>
          <w:lang w:val="zh-CN"/>
        </w:rPr>
        <w:t>年</w:t>
      </w:r>
      <w:r>
        <w:rPr>
          <w:rFonts w:ascii="Times New Roman" w:eastAsia="宋体" w:hAnsi="Times New Roman" w:cs="宋体" w:hint="eastAsia"/>
          <w:sz w:val="24"/>
        </w:rPr>
        <w:t>7</w:t>
      </w:r>
      <w:r>
        <w:rPr>
          <w:rFonts w:ascii="Times New Roman" w:eastAsia="宋体" w:hAnsi="Times New Roman" w:cs="宋体" w:hint="eastAsia"/>
          <w:sz w:val="24"/>
          <w:lang w:val="zh-CN"/>
        </w:rPr>
        <w:t>月—</w:t>
      </w:r>
      <w:r>
        <w:rPr>
          <w:rFonts w:ascii="Times New Roman" w:eastAsia="宋体" w:hAnsi="Times New Roman" w:cs="宋体" w:hint="eastAsia"/>
          <w:sz w:val="24"/>
          <w:lang w:val="zh-CN"/>
        </w:rPr>
        <w:t>20</w:t>
      </w:r>
      <w:r>
        <w:rPr>
          <w:rFonts w:ascii="Times New Roman" w:eastAsia="宋体" w:hAnsi="Times New Roman" w:cs="宋体" w:hint="eastAsia"/>
          <w:sz w:val="24"/>
        </w:rPr>
        <w:t>23</w:t>
      </w:r>
      <w:r>
        <w:rPr>
          <w:rFonts w:ascii="Times New Roman" w:eastAsia="宋体" w:hAnsi="Times New Roman" w:cs="宋体" w:hint="eastAsia"/>
          <w:sz w:val="24"/>
          <w:lang w:val="zh-CN"/>
        </w:rPr>
        <w:t>年</w:t>
      </w:r>
      <w:r>
        <w:rPr>
          <w:rFonts w:ascii="Times New Roman" w:eastAsia="宋体" w:hAnsi="Times New Roman" w:cs="宋体" w:hint="eastAsia"/>
          <w:sz w:val="24"/>
        </w:rPr>
        <w:t>8</w:t>
      </w:r>
      <w:r>
        <w:rPr>
          <w:rFonts w:ascii="Times New Roman" w:eastAsia="宋体" w:hAnsi="Times New Roman" w:cs="宋体" w:hint="eastAsia"/>
          <w:sz w:val="24"/>
          <w:lang w:val="zh-CN"/>
        </w:rPr>
        <w:t>月</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lang w:val="zh-CN"/>
        </w:rPr>
        <w:t>针对高速电气化铁路接触网铝合金锻件调查研究、评估论证，提出立项申请，</w:t>
      </w:r>
      <w:r>
        <w:rPr>
          <w:rFonts w:ascii="Times New Roman" w:eastAsia="宋体" w:hAnsi="Times New Roman" w:cs="宋体" w:hint="eastAsia"/>
          <w:sz w:val="24"/>
        </w:rPr>
        <w:t>提交《</w:t>
      </w:r>
      <w:r>
        <w:rPr>
          <w:rFonts w:ascii="Times New Roman" w:eastAsia="宋体" w:hAnsi="Times New Roman" w:cs="宋体" w:hint="eastAsia"/>
          <w:sz w:val="24"/>
          <w:lang w:val="zh-CN"/>
        </w:rPr>
        <w:t>高速电气化铁路接触网铝合金锻件通用技术条件</w:t>
      </w:r>
      <w:r>
        <w:rPr>
          <w:rFonts w:ascii="Times New Roman" w:eastAsia="宋体" w:hAnsi="Times New Roman" w:cs="宋体" w:hint="eastAsia"/>
          <w:sz w:val="24"/>
        </w:rPr>
        <w:t>》</w:t>
      </w:r>
      <w:r>
        <w:rPr>
          <w:rFonts w:ascii="Times New Roman" w:eastAsia="宋体" w:hAnsi="Times New Roman" w:cs="宋体" w:hint="eastAsia"/>
          <w:sz w:val="24"/>
          <w:lang w:val="zh-CN"/>
        </w:rPr>
        <w:t>立项建议书，</w:t>
      </w:r>
      <w:r>
        <w:rPr>
          <w:rFonts w:ascii="Times New Roman" w:eastAsia="宋体" w:hAnsi="Times New Roman" w:cs="宋体" w:hint="eastAsia"/>
          <w:sz w:val="24"/>
        </w:rPr>
        <w:t>交中国锻</w:t>
      </w:r>
      <w:r>
        <w:rPr>
          <w:rFonts w:ascii="Times New Roman" w:eastAsia="宋体" w:hAnsi="Times New Roman" w:cs="宋体" w:hint="eastAsia"/>
          <w:sz w:val="24"/>
        </w:rPr>
        <w:lastRenderedPageBreak/>
        <w:t>压协会组织专家评估与审批。</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2</w:t>
      </w:r>
      <w:r>
        <w:rPr>
          <w:rFonts w:ascii="Times New Roman" w:eastAsia="宋体" w:hAnsi="Times New Roman" w:cs="宋体" w:hint="eastAsia"/>
          <w:sz w:val="24"/>
        </w:rPr>
        <w:t>）</w:t>
      </w:r>
      <w:r>
        <w:rPr>
          <w:rFonts w:ascii="Times New Roman" w:eastAsia="宋体" w:hAnsi="Times New Roman" w:cs="宋体" w:hint="eastAsia"/>
          <w:sz w:val="24"/>
        </w:rPr>
        <w:t>2023.8</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经过专家立项函审，《</w:t>
      </w:r>
      <w:r>
        <w:rPr>
          <w:rFonts w:ascii="Times New Roman" w:eastAsia="宋体" w:hAnsi="Times New Roman" w:cs="宋体" w:hint="eastAsia"/>
          <w:sz w:val="24"/>
          <w:lang w:val="zh-CN"/>
        </w:rPr>
        <w:t>高速电气化铁路接触网铝合金锻件通用技术条件</w:t>
      </w:r>
      <w:r>
        <w:rPr>
          <w:rFonts w:ascii="Times New Roman" w:eastAsia="宋体" w:hAnsi="Times New Roman" w:cs="宋体" w:hint="eastAsia"/>
          <w:sz w:val="24"/>
        </w:rPr>
        <w:t>》标准于</w:t>
      </w:r>
      <w:r>
        <w:rPr>
          <w:rFonts w:ascii="Times New Roman" w:eastAsia="宋体" w:hAnsi="Times New Roman" w:cs="宋体" w:hint="eastAsia"/>
          <w:sz w:val="24"/>
        </w:rPr>
        <w:t>2023</w:t>
      </w:r>
      <w:r>
        <w:rPr>
          <w:rFonts w:ascii="Times New Roman" w:eastAsia="宋体" w:hAnsi="Times New Roman" w:cs="宋体" w:hint="eastAsia"/>
          <w:sz w:val="24"/>
        </w:rPr>
        <w:t>年</w:t>
      </w:r>
      <w:r>
        <w:rPr>
          <w:rFonts w:ascii="Times New Roman" w:eastAsia="宋体" w:hAnsi="Times New Roman" w:cs="宋体" w:hint="eastAsia"/>
          <w:sz w:val="24"/>
        </w:rPr>
        <w:t>8</w:t>
      </w:r>
      <w:r>
        <w:rPr>
          <w:rFonts w:ascii="Times New Roman" w:eastAsia="宋体" w:hAnsi="Times New Roman" w:cs="宋体" w:hint="eastAsia"/>
          <w:sz w:val="24"/>
        </w:rPr>
        <w:t>月</w:t>
      </w:r>
      <w:r>
        <w:rPr>
          <w:rFonts w:ascii="Times New Roman" w:eastAsia="宋体" w:hAnsi="Times New Roman" w:cs="宋体" w:hint="eastAsia"/>
          <w:sz w:val="24"/>
        </w:rPr>
        <w:t>22</w:t>
      </w:r>
      <w:r>
        <w:rPr>
          <w:rFonts w:ascii="Times New Roman" w:eastAsia="宋体" w:hAnsi="Times New Roman" w:cs="宋体" w:hint="eastAsia"/>
          <w:sz w:val="24"/>
        </w:rPr>
        <w:t>日正式立项。</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3</w:t>
      </w:r>
      <w:r>
        <w:rPr>
          <w:rFonts w:ascii="Times New Roman" w:eastAsia="宋体" w:hAnsi="Times New Roman" w:cs="宋体" w:hint="eastAsia"/>
          <w:sz w:val="24"/>
        </w:rPr>
        <w:t>）起草阶段</w:t>
      </w:r>
    </w:p>
    <w:p w:rsidR="0038250E" w:rsidRDefault="008770AF">
      <w:pPr>
        <w:spacing w:line="360" w:lineRule="auto"/>
        <w:ind w:firstLineChars="200" w:firstLine="480"/>
        <w:rPr>
          <w:rFonts w:ascii="Times New Roman" w:eastAsia="宋体" w:hAnsi="Times New Roman" w:cs="宋体"/>
          <w:sz w:val="24"/>
          <w:lang w:val="zh-CN"/>
        </w:rPr>
      </w:pPr>
      <w:r>
        <w:rPr>
          <w:rFonts w:ascii="Times New Roman" w:eastAsia="宋体" w:hAnsi="Times New Roman" w:cs="宋体" w:hint="eastAsia"/>
          <w:sz w:val="24"/>
        </w:rPr>
        <w:t>2023.10</w:t>
      </w:r>
      <w:r>
        <w:rPr>
          <w:rFonts w:ascii="Times New Roman" w:eastAsia="宋体" w:hAnsi="Times New Roman" w:cs="宋体" w:hint="eastAsia"/>
          <w:sz w:val="24"/>
        </w:rPr>
        <w:t>—</w:t>
      </w:r>
      <w:r>
        <w:rPr>
          <w:rFonts w:ascii="Times New Roman" w:eastAsia="宋体" w:hAnsi="Times New Roman" w:cs="宋体" w:hint="eastAsia"/>
          <w:sz w:val="24"/>
        </w:rPr>
        <w:t>2024.12</w:t>
      </w:r>
      <w:r>
        <w:rPr>
          <w:rFonts w:ascii="Times New Roman" w:eastAsia="宋体" w:hAnsi="Times New Roman" w:cs="宋体" w:hint="eastAsia"/>
          <w:sz w:val="24"/>
        </w:rPr>
        <w:t>：由中铁建电气化局轨道交通器材有限公司牵头组成了标准起草小组，对于标准的编制计划和任务分工做出了详细的规划，并且开始了编制工作。在《</w:t>
      </w:r>
      <w:r>
        <w:rPr>
          <w:rFonts w:ascii="Times New Roman" w:eastAsia="宋体" w:hAnsi="Times New Roman" w:cs="宋体" w:hint="eastAsia"/>
          <w:sz w:val="24"/>
          <w:lang w:val="zh-CN"/>
        </w:rPr>
        <w:t>高速电气化铁路接触网铝合金锻件通用技术条件</w:t>
      </w:r>
      <w:r>
        <w:rPr>
          <w:rFonts w:ascii="Times New Roman" w:eastAsia="宋体" w:hAnsi="Times New Roman" w:cs="宋体" w:hint="eastAsia"/>
          <w:sz w:val="24"/>
        </w:rPr>
        <w:t>》的起草编制过程中，小组成员各负其责，阅读相关文献，查阅收集相关数据资料，进行了一系列的</w:t>
      </w:r>
      <w:r>
        <w:rPr>
          <w:rFonts w:ascii="Times New Roman" w:eastAsia="宋体" w:hAnsi="Times New Roman" w:cs="宋体" w:hint="eastAsia"/>
          <w:sz w:val="24"/>
          <w:lang w:val="zh-CN"/>
        </w:rPr>
        <w:t>调研工作，</w:t>
      </w:r>
      <w:r>
        <w:rPr>
          <w:rFonts w:ascii="Times New Roman" w:eastAsia="宋体" w:hAnsi="Times New Roman" w:cs="宋体" w:hint="eastAsia"/>
          <w:sz w:val="24"/>
        </w:rPr>
        <w:t>又结合实际生产</w:t>
      </w:r>
      <w:r>
        <w:rPr>
          <w:rFonts w:ascii="Times New Roman" w:eastAsia="宋体" w:hAnsi="Times New Roman" w:cs="宋体" w:hint="eastAsia"/>
          <w:sz w:val="24"/>
          <w:lang w:val="zh-CN"/>
        </w:rPr>
        <w:t>确定了</w:t>
      </w:r>
      <w:r>
        <w:rPr>
          <w:rFonts w:ascii="Times New Roman" w:eastAsia="宋体" w:hAnsi="Times New Roman" w:cs="宋体" w:hint="eastAsia"/>
          <w:sz w:val="24"/>
        </w:rPr>
        <w:t>标准的</w:t>
      </w:r>
      <w:r>
        <w:rPr>
          <w:rFonts w:ascii="Times New Roman" w:eastAsia="宋体" w:hAnsi="Times New Roman" w:cs="宋体" w:hint="eastAsia"/>
          <w:sz w:val="24"/>
          <w:lang w:val="zh-CN"/>
        </w:rPr>
        <w:t>主要内容，并在此基础上形成了标准的草案；</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4</w:t>
      </w:r>
      <w:r>
        <w:rPr>
          <w:rFonts w:ascii="Times New Roman" w:eastAsia="宋体" w:hAnsi="Times New Roman" w:cs="宋体" w:hint="eastAsia"/>
          <w:sz w:val="24"/>
        </w:rPr>
        <w:t>）征求意见阶段</w:t>
      </w:r>
    </w:p>
    <w:p w:rsidR="00EA7A69" w:rsidRDefault="00EA7A69" w:rsidP="00EA7A69">
      <w:pPr>
        <w:spacing w:line="360" w:lineRule="auto"/>
        <w:ind w:firstLineChars="200" w:firstLine="480"/>
        <w:rPr>
          <w:rFonts w:ascii="Times New Roman" w:eastAsia="宋体" w:hAnsi="Times New Roman" w:cs="宋体"/>
          <w:sz w:val="24"/>
        </w:rPr>
      </w:pPr>
      <w:r w:rsidRPr="00EA7A69">
        <w:rPr>
          <w:rFonts w:ascii="Times New Roman" w:eastAsia="宋体" w:hAnsi="Times New Roman" w:cs="宋体" w:hint="eastAsia"/>
          <w:sz w:val="24"/>
        </w:rPr>
        <w:t>《高速电气化铁路接触网铝合金锻件通用技术条件》编制</w:t>
      </w:r>
      <w:r>
        <w:rPr>
          <w:rFonts w:ascii="Times New Roman" w:eastAsia="宋体" w:hAnsi="Times New Roman" w:cs="宋体" w:hint="eastAsia"/>
          <w:sz w:val="24"/>
        </w:rPr>
        <w:t>起草组向中锻协标委会提交征求意见稿，预计于</w:t>
      </w:r>
      <w:r w:rsidRPr="002A75EE">
        <w:rPr>
          <w:rFonts w:ascii="Times New Roman" w:eastAsia="宋体" w:hAnsi="Times New Roman" w:cs="宋体" w:hint="eastAsia"/>
          <w:sz w:val="24"/>
        </w:rPr>
        <w:t>2025</w:t>
      </w:r>
      <w:r w:rsidRPr="002A75EE">
        <w:rPr>
          <w:rFonts w:ascii="Times New Roman" w:eastAsia="宋体" w:hAnsi="Times New Roman" w:cs="宋体" w:hint="eastAsia"/>
          <w:sz w:val="24"/>
        </w:rPr>
        <w:t>年</w:t>
      </w:r>
      <w:r w:rsidRPr="002A75EE">
        <w:rPr>
          <w:rFonts w:ascii="Times New Roman" w:eastAsia="宋体" w:hAnsi="Times New Roman" w:cs="宋体" w:hint="eastAsia"/>
          <w:sz w:val="24"/>
        </w:rPr>
        <w:t>2</w:t>
      </w:r>
      <w:r w:rsidRPr="002A75EE">
        <w:rPr>
          <w:rFonts w:ascii="Times New Roman" w:eastAsia="宋体" w:hAnsi="Times New Roman" w:cs="宋体" w:hint="eastAsia"/>
          <w:sz w:val="24"/>
        </w:rPr>
        <w:t>月</w:t>
      </w:r>
      <w:r w:rsidR="002A75EE" w:rsidRPr="002A75EE">
        <w:rPr>
          <w:rFonts w:ascii="Times New Roman" w:eastAsia="宋体" w:hAnsi="Times New Roman" w:cs="宋体" w:hint="eastAsia"/>
          <w:sz w:val="24"/>
        </w:rPr>
        <w:t>20</w:t>
      </w:r>
      <w:r w:rsidRPr="002A75EE">
        <w:rPr>
          <w:rFonts w:ascii="Times New Roman" w:eastAsia="宋体" w:hAnsi="Times New Roman" w:cs="宋体" w:hint="eastAsia"/>
          <w:sz w:val="24"/>
        </w:rPr>
        <w:t>日—</w:t>
      </w:r>
      <w:r w:rsidRPr="002A75EE">
        <w:rPr>
          <w:rFonts w:ascii="Times New Roman" w:eastAsia="宋体" w:hAnsi="Times New Roman" w:cs="宋体" w:hint="eastAsia"/>
          <w:sz w:val="24"/>
        </w:rPr>
        <w:t>2025</w:t>
      </w:r>
      <w:r w:rsidRPr="002A75EE">
        <w:rPr>
          <w:rFonts w:ascii="Times New Roman" w:eastAsia="宋体" w:hAnsi="Times New Roman" w:cs="宋体" w:hint="eastAsia"/>
          <w:sz w:val="24"/>
        </w:rPr>
        <w:t>年</w:t>
      </w:r>
      <w:r w:rsidRPr="002A75EE">
        <w:rPr>
          <w:rFonts w:ascii="Times New Roman" w:eastAsia="宋体" w:hAnsi="Times New Roman" w:cs="宋体" w:hint="eastAsia"/>
          <w:sz w:val="24"/>
        </w:rPr>
        <w:t>3</w:t>
      </w:r>
      <w:r w:rsidRPr="002A75EE">
        <w:rPr>
          <w:rFonts w:ascii="Times New Roman" w:eastAsia="宋体" w:hAnsi="Times New Roman" w:cs="宋体" w:hint="eastAsia"/>
          <w:sz w:val="24"/>
        </w:rPr>
        <w:t>月</w:t>
      </w:r>
      <w:r w:rsidR="002A75EE" w:rsidRPr="002A75EE">
        <w:rPr>
          <w:rFonts w:ascii="Times New Roman" w:eastAsia="宋体" w:hAnsi="Times New Roman" w:cs="宋体" w:hint="eastAsia"/>
          <w:sz w:val="24"/>
        </w:rPr>
        <w:t>23</w:t>
      </w:r>
      <w:r w:rsidRPr="002A75EE">
        <w:rPr>
          <w:rFonts w:ascii="Times New Roman" w:eastAsia="宋体" w:hAnsi="Times New Roman" w:cs="宋体" w:hint="eastAsia"/>
          <w:sz w:val="24"/>
        </w:rPr>
        <w:t>日</w:t>
      </w:r>
      <w:r>
        <w:rPr>
          <w:rFonts w:ascii="Times New Roman" w:eastAsia="宋体" w:hAnsi="Times New Roman" w:cs="宋体" w:hint="eastAsia"/>
          <w:sz w:val="24"/>
        </w:rPr>
        <w:t>广泛征求意见。</w:t>
      </w:r>
    </w:p>
    <w:p w:rsidR="0038250E" w:rsidRDefault="008770AF">
      <w:pPr>
        <w:numPr>
          <w:ilvl w:val="0"/>
          <w:numId w:val="2"/>
        </w:numPr>
        <w:spacing w:line="360" w:lineRule="auto"/>
        <w:rPr>
          <w:rFonts w:hAnsi="宋体" w:cs="宋体"/>
          <w:b/>
          <w:bCs/>
          <w:kern w:val="0"/>
          <w:sz w:val="24"/>
        </w:rPr>
      </w:pPr>
      <w:r>
        <w:rPr>
          <w:rFonts w:hAnsi="宋体" w:cs="宋体" w:hint="eastAsia"/>
          <w:b/>
          <w:bCs/>
          <w:kern w:val="0"/>
          <w:sz w:val="24"/>
        </w:rPr>
        <w:t>与现行的法律、法规及国家标准、国家军用标准、行业标准的关系</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本标准与现行国家的法律法规、有关联的强制性国家（或行业）标准推荐性国家（或行业）标准协调一致，无冲突与矛盾。</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目前的检索在国外未见高速电气化铁路接触网铝合金锻件相关技术条件，在国内外属于首创。</w:t>
      </w:r>
      <w:r>
        <w:rPr>
          <w:rFonts w:ascii="Times New Roman" w:eastAsia="宋体" w:hAnsi="Times New Roman" w:cs="宋体" w:hint="eastAsia"/>
          <w:sz w:val="24"/>
        </w:rPr>
        <w:t xml:space="preserve"> </w:t>
      </w:r>
    </w:p>
    <w:p w:rsidR="0038250E" w:rsidRDefault="008770AF">
      <w:pPr>
        <w:numPr>
          <w:ilvl w:val="0"/>
          <w:numId w:val="2"/>
        </w:numPr>
        <w:spacing w:line="360" w:lineRule="auto"/>
        <w:rPr>
          <w:rFonts w:hAnsi="宋体" w:cs="宋体"/>
          <w:b/>
          <w:bCs/>
          <w:kern w:val="0"/>
          <w:sz w:val="24"/>
        </w:rPr>
      </w:pPr>
      <w:r>
        <w:rPr>
          <w:rFonts w:hAnsi="宋体" w:cs="宋体" w:hint="eastAsia"/>
          <w:b/>
          <w:bCs/>
          <w:kern w:val="0"/>
          <w:sz w:val="24"/>
        </w:rPr>
        <w:t>标准编制内容</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本标准按照</w:t>
      </w:r>
      <w:r>
        <w:rPr>
          <w:rFonts w:ascii="Times New Roman" w:eastAsia="宋体" w:hAnsi="Times New Roman" w:cs="宋体" w:hint="eastAsia"/>
          <w:sz w:val="24"/>
        </w:rPr>
        <w:t>GB/T1.1-2020</w:t>
      </w:r>
      <w:r>
        <w:rPr>
          <w:rFonts w:ascii="Times New Roman" w:eastAsia="宋体" w:hAnsi="Times New Roman" w:cs="宋体" w:hint="eastAsia"/>
          <w:sz w:val="24"/>
        </w:rPr>
        <w:t>《标准化工作导则</w:t>
      </w:r>
      <w:r>
        <w:rPr>
          <w:rFonts w:ascii="Times New Roman" w:eastAsia="宋体" w:hAnsi="Times New Roman" w:cs="宋体" w:hint="eastAsia"/>
          <w:sz w:val="24"/>
        </w:rPr>
        <w:t xml:space="preserve"> </w:t>
      </w:r>
      <w:r>
        <w:rPr>
          <w:rFonts w:ascii="Times New Roman" w:eastAsia="宋体" w:hAnsi="Times New Roman" w:cs="宋体" w:hint="eastAsia"/>
          <w:sz w:val="24"/>
        </w:rPr>
        <w:t>第一部分：标准化文件的结构和起草规则》给出的规则起草。本标准适用于高速电气化铁路接触网铝合金锻件，并且充分的考虑了当前生产和未来的发展趋势。</w:t>
      </w:r>
    </w:p>
    <w:p w:rsidR="0038250E" w:rsidRDefault="008770A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本标准规定的主要内容：规定了高速电气化铁路接触网铝合金锻件的术语与定义、技术要求、工艺过程、检验方法、标志、包装、运输和储存等。本标准主要内容如下：</w:t>
      </w:r>
      <w:r>
        <w:rPr>
          <w:rFonts w:ascii="Times New Roman" w:eastAsia="宋体" w:hAnsi="Times New Roman" w:cs="宋体" w:hint="eastAsia"/>
          <w:sz w:val="24"/>
        </w:rPr>
        <w:t xml:space="preserve"> </w:t>
      </w:r>
    </w:p>
    <w:p w:rsidR="003E1F61" w:rsidRDefault="008770AF" w:rsidP="008770AF">
      <w:pPr>
        <w:pStyle w:val="a5"/>
        <w:numPr>
          <w:ilvl w:val="0"/>
          <w:numId w:val="4"/>
        </w:numPr>
        <w:spacing w:line="360" w:lineRule="auto"/>
        <w:ind w:firstLine="480"/>
        <w:rPr>
          <w:rFonts w:ascii="Times New Roman" w:cs="宋体" w:hint="eastAsia"/>
          <w:kern w:val="2"/>
          <w:sz w:val="24"/>
          <w:szCs w:val="24"/>
        </w:rPr>
      </w:pPr>
      <w:r>
        <w:rPr>
          <w:rFonts w:ascii="Times New Roman" w:cs="宋体" w:hint="eastAsia"/>
          <w:kern w:val="2"/>
          <w:sz w:val="24"/>
          <w:szCs w:val="24"/>
        </w:rPr>
        <w:t>本标准规范性引用文件包括：</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kern w:val="2"/>
          <w:sz w:val="24"/>
          <w:szCs w:val="24"/>
        </w:rPr>
        <w:t xml:space="preserve">GB/T </w:t>
      </w:r>
      <w:r w:rsidRPr="009C4D74">
        <w:rPr>
          <w:rFonts w:ascii="Times New Roman" w:cs="宋体" w:hint="eastAsia"/>
          <w:kern w:val="2"/>
          <w:sz w:val="24"/>
          <w:szCs w:val="24"/>
        </w:rPr>
        <w:t>191</w:t>
      </w:r>
      <w:r w:rsidRPr="009C4D74">
        <w:rPr>
          <w:rFonts w:ascii="Times New Roman" w:cs="宋体"/>
          <w:kern w:val="2"/>
          <w:sz w:val="24"/>
          <w:szCs w:val="24"/>
        </w:rPr>
        <w:t xml:space="preserve"> </w:t>
      </w:r>
      <w:r w:rsidRPr="009C4D74">
        <w:rPr>
          <w:rFonts w:ascii="Times New Roman" w:cs="宋体" w:hint="eastAsia"/>
          <w:kern w:val="2"/>
          <w:sz w:val="24"/>
          <w:szCs w:val="24"/>
        </w:rPr>
        <w:t xml:space="preserve">   </w:t>
      </w:r>
      <w:r w:rsidRPr="009C4D74">
        <w:rPr>
          <w:rFonts w:ascii="Times New Roman" w:cs="宋体" w:hint="eastAsia"/>
          <w:kern w:val="2"/>
          <w:sz w:val="24"/>
          <w:szCs w:val="24"/>
        </w:rPr>
        <w:t>包装储运图示标志</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231.1  </w:t>
      </w:r>
      <w:r w:rsidRPr="009C4D74">
        <w:rPr>
          <w:rFonts w:ascii="Times New Roman" w:cs="宋体" w:hint="eastAsia"/>
          <w:kern w:val="2"/>
          <w:sz w:val="24"/>
          <w:szCs w:val="24"/>
        </w:rPr>
        <w:t>金属材料</w:t>
      </w:r>
      <w:r w:rsidRPr="009C4D74">
        <w:rPr>
          <w:rFonts w:ascii="Times New Roman" w:cs="宋体" w:hint="eastAsia"/>
          <w:kern w:val="2"/>
          <w:sz w:val="24"/>
          <w:szCs w:val="24"/>
        </w:rPr>
        <w:t xml:space="preserve"> </w:t>
      </w:r>
      <w:r w:rsidRPr="009C4D74">
        <w:rPr>
          <w:rFonts w:ascii="Times New Roman" w:cs="宋体" w:hint="eastAsia"/>
          <w:kern w:val="2"/>
          <w:sz w:val="24"/>
          <w:szCs w:val="24"/>
        </w:rPr>
        <w:t>布氏硬度试验</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lastRenderedPageBreak/>
        <w:t xml:space="preserve">GB/T 1804-2020   </w:t>
      </w:r>
      <w:r w:rsidRPr="009C4D74">
        <w:rPr>
          <w:rFonts w:ascii="Times New Roman" w:cs="宋体"/>
          <w:kern w:val="2"/>
          <w:sz w:val="24"/>
          <w:szCs w:val="24"/>
        </w:rPr>
        <w:t>一般公差</w:t>
      </w:r>
      <w:r w:rsidRPr="009C4D74">
        <w:rPr>
          <w:rFonts w:ascii="Times New Roman" w:cs="宋体"/>
          <w:kern w:val="2"/>
          <w:sz w:val="24"/>
          <w:szCs w:val="24"/>
        </w:rPr>
        <w:t xml:space="preserve"> </w:t>
      </w:r>
      <w:r w:rsidRPr="009C4D74">
        <w:rPr>
          <w:rFonts w:ascii="Times New Roman" w:cs="宋体"/>
          <w:kern w:val="2"/>
          <w:sz w:val="24"/>
          <w:szCs w:val="24"/>
        </w:rPr>
        <w:t>未注公差的线性和角度尺寸的</w:t>
      </w:r>
      <w:r w:rsidRPr="009C4D74">
        <w:rPr>
          <w:rFonts w:ascii="Times New Roman" w:cs="宋体" w:hint="eastAsia"/>
          <w:kern w:val="2"/>
          <w:sz w:val="24"/>
          <w:szCs w:val="24"/>
        </w:rPr>
        <w:t>公差</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kern w:val="2"/>
          <w:sz w:val="24"/>
          <w:szCs w:val="24"/>
        </w:rPr>
        <w:t>GB/T</w:t>
      </w:r>
      <w:r w:rsidRPr="009C4D74">
        <w:rPr>
          <w:rFonts w:ascii="Times New Roman" w:cs="宋体" w:hint="eastAsia"/>
          <w:kern w:val="2"/>
          <w:sz w:val="24"/>
          <w:szCs w:val="24"/>
        </w:rPr>
        <w:t xml:space="preserve"> </w:t>
      </w:r>
      <w:r w:rsidRPr="009C4D74">
        <w:rPr>
          <w:rFonts w:ascii="Times New Roman" w:cs="宋体"/>
          <w:kern w:val="2"/>
          <w:sz w:val="24"/>
          <w:szCs w:val="24"/>
        </w:rPr>
        <w:t>1957</w:t>
      </w:r>
      <w:r w:rsidRPr="009C4D74">
        <w:rPr>
          <w:rFonts w:ascii="Times New Roman" w:cs="宋体" w:hint="eastAsia"/>
          <w:kern w:val="2"/>
          <w:sz w:val="24"/>
          <w:szCs w:val="24"/>
        </w:rPr>
        <w:t xml:space="preserve">   </w:t>
      </w:r>
      <w:r w:rsidRPr="009C4D74">
        <w:rPr>
          <w:rFonts w:ascii="Times New Roman" w:cs="宋体"/>
          <w:kern w:val="2"/>
          <w:sz w:val="24"/>
          <w:szCs w:val="24"/>
        </w:rPr>
        <w:t>光滑极限量规技术</w:t>
      </w:r>
      <w:r w:rsidRPr="009C4D74">
        <w:rPr>
          <w:rFonts w:ascii="Times New Roman" w:cs="宋体" w:hint="eastAsia"/>
          <w:kern w:val="2"/>
          <w:sz w:val="24"/>
          <w:szCs w:val="24"/>
        </w:rPr>
        <w:t>条件</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GB/T 2828</w:t>
      </w:r>
      <w:r w:rsidRPr="009C4D74">
        <w:rPr>
          <w:rFonts w:ascii="Times New Roman" w:cs="宋体" w:hint="eastAsia"/>
          <w:kern w:val="2"/>
          <w:sz w:val="24"/>
          <w:szCs w:val="24"/>
        </w:rPr>
        <w:t>（所有部分）</w:t>
      </w:r>
      <w:r w:rsidRPr="009C4D74">
        <w:rPr>
          <w:rFonts w:ascii="Times New Roman" w:cs="宋体" w:hint="eastAsia"/>
          <w:kern w:val="2"/>
          <w:sz w:val="24"/>
          <w:szCs w:val="24"/>
        </w:rPr>
        <w:t xml:space="preserve"> </w:t>
      </w:r>
      <w:r w:rsidRPr="009C4D74">
        <w:rPr>
          <w:rFonts w:ascii="Times New Roman" w:cs="宋体" w:hint="eastAsia"/>
          <w:kern w:val="2"/>
          <w:sz w:val="24"/>
          <w:szCs w:val="24"/>
        </w:rPr>
        <w:t>技术抽样检验程序</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2829   </w:t>
      </w:r>
      <w:r w:rsidRPr="009C4D74">
        <w:rPr>
          <w:rFonts w:ascii="Times New Roman" w:cs="宋体" w:hint="eastAsia"/>
          <w:kern w:val="2"/>
          <w:sz w:val="24"/>
          <w:szCs w:val="24"/>
        </w:rPr>
        <w:t>周期检验计数抽样程序与表（适用于对过程稳定性的检验）</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3246.1 </w:t>
      </w:r>
      <w:r w:rsidRPr="009C4D74">
        <w:rPr>
          <w:rFonts w:ascii="Times New Roman" w:cs="宋体" w:hint="eastAsia"/>
          <w:kern w:val="2"/>
          <w:sz w:val="24"/>
          <w:szCs w:val="24"/>
        </w:rPr>
        <w:t>变形铝及铝合金制品组织检验方法第</w:t>
      </w:r>
      <w:r w:rsidRPr="009C4D74">
        <w:rPr>
          <w:rFonts w:ascii="Times New Roman" w:cs="宋体" w:hint="eastAsia"/>
          <w:kern w:val="2"/>
          <w:sz w:val="24"/>
          <w:szCs w:val="24"/>
        </w:rPr>
        <w:t>1</w:t>
      </w:r>
      <w:r w:rsidRPr="009C4D74">
        <w:rPr>
          <w:rFonts w:ascii="Times New Roman" w:cs="宋体" w:hint="eastAsia"/>
          <w:kern w:val="2"/>
          <w:sz w:val="24"/>
          <w:szCs w:val="24"/>
        </w:rPr>
        <w:t>部分：显微组织检验方法</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GB/T 3246.2-2012   </w:t>
      </w:r>
      <w:r w:rsidRPr="009C4D74">
        <w:rPr>
          <w:rFonts w:ascii="Times New Roman" w:cs="宋体" w:hint="eastAsia"/>
          <w:kern w:val="2"/>
          <w:sz w:val="24"/>
          <w:szCs w:val="24"/>
        </w:rPr>
        <w:t>变形铝及铝合金制品组织检验方法第</w:t>
      </w:r>
      <w:r w:rsidRPr="009C4D74">
        <w:rPr>
          <w:rFonts w:ascii="Times New Roman" w:cs="宋体" w:hint="eastAsia"/>
          <w:kern w:val="2"/>
          <w:sz w:val="24"/>
          <w:szCs w:val="24"/>
        </w:rPr>
        <w:t>2</w:t>
      </w:r>
      <w:r w:rsidRPr="009C4D74">
        <w:rPr>
          <w:rFonts w:ascii="Times New Roman" w:cs="宋体" w:hint="eastAsia"/>
          <w:kern w:val="2"/>
          <w:sz w:val="24"/>
          <w:szCs w:val="24"/>
        </w:rPr>
        <w:t>部分：低倍组织检验方法</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6519   </w:t>
      </w:r>
      <w:r w:rsidRPr="009C4D74">
        <w:rPr>
          <w:rFonts w:ascii="Times New Roman" w:cs="宋体" w:hint="eastAsia"/>
          <w:kern w:val="2"/>
          <w:sz w:val="24"/>
          <w:szCs w:val="24"/>
        </w:rPr>
        <w:t>变形铝、镁合金产品超声波检验方法</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7999   </w:t>
      </w:r>
      <w:r w:rsidRPr="009C4D74">
        <w:rPr>
          <w:rFonts w:ascii="Times New Roman" w:cs="宋体" w:hint="eastAsia"/>
          <w:kern w:val="2"/>
          <w:sz w:val="24"/>
          <w:szCs w:val="24"/>
        </w:rPr>
        <w:t>铝及铝合金光电直读发射光谱分析方法</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GB/T 8541   </w:t>
      </w:r>
      <w:r w:rsidRPr="009C4D74">
        <w:rPr>
          <w:rFonts w:ascii="Times New Roman" w:cs="宋体" w:hint="eastAsia"/>
          <w:kern w:val="2"/>
          <w:sz w:val="24"/>
          <w:szCs w:val="24"/>
        </w:rPr>
        <w:t>锻压术语</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GB/T 8545-2024   </w:t>
      </w:r>
      <w:r w:rsidRPr="009C4D74">
        <w:rPr>
          <w:rFonts w:ascii="Times New Roman" w:cs="宋体" w:hint="eastAsia"/>
          <w:kern w:val="2"/>
          <w:sz w:val="24"/>
          <w:szCs w:val="24"/>
        </w:rPr>
        <w:t>铝及铝合金模锻件的尺寸偏差及加工余量</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9452   </w:t>
      </w:r>
      <w:r w:rsidRPr="009C4D74">
        <w:rPr>
          <w:rFonts w:ascii="Times New Roman" w:cs="宋体" w:hint="eastAsia"/>
          <w:kern w:val="2"/>
          <w:sz w:val="24"/>
          <w:szCs w:val="24"/>
        </w:rPr>
        <w:t>热处理炉有效加热区测定方法</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GB/T 16475  </w:t>
      </w:r>
      <w:r w:rsidRPr="009C4D74">
        <w:rPr>
          <w:rFonts w:ascii="Times New Roman" w:cs="宋体" w:hint="eastAsia"/>
          <w:kern w:val="2"/>
          <w:sz w:val="24"/>
          <w:szCs w:val="24"/>
        </w:rPr>
        <w:t>变形铝及铝合金产品状态代号</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16865  </w:t>
      </w:r>
      <w:r w:rsidRPr="009C4D74">
        <w:rPr>
          <w:rFonts w:ascii="Times New Roman" w:cs="宋体" w:hint="eastAsia"/>
          <w:kern w:val="2"/>
          <w:sz w:val="24"/>
          <w:szCs w:val="24"/>
        </w:rPr>
        <w:t>变形铝、镁及其合金加工制品拉伸试验用试样及方法</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 xml:space="preserve">GB/T 17432  </w:t>
      </w:r>
      <w:r w:rsidRPr="009C4D74">
        <w:rPr>
          <w:rFonts w:ascii="Times New Roman" w:cs="宋体" w:hint="eastAsia"/>
          <w:kern w:val="2"/>
          <w:sz w:val="24"/>
          <w:szCs w:val="24"/>
        </w:rPr>
        <w:t>变形铝及铝合金化学成分分析取样方法</w:t>
      </w:r>
    </w:p>
    <w:p w:rsidR="003E1F61" w:rsidRPr="009C4D74" w:rsidRDefault="003E1F61" w:rsidP="009C4D74">
      <w:pPr>
        <w:ind w:firstLineChars="202" w:firstLine="485"/>
        <w:rPr>
          <w:rFonts w:ascii="Times New Roman" w:eastAsia="宋体" w:hAnsi="Times New Roman" w:cs="宋体"/>
          <w:sz w:val="24"/>
        </w:rPr>
      </w:pPr>
      <w:r w:rsidRPr="009C4D74">
        <w:rPr>
          <w:rFonts w:ascii="Times New Roman" w:eastAsia="宋体" w:hAnsi="Times New Roman" w:cs="宋体" w:hint="eastAsia"/>
          <w:sz w:val="24"/>
        </w:rPr>
        <w:t>GB/T 18851</w:t>
      </w:r>
      <w:r w:rsidRPr="009C4D74">
        <w:rPr>
          <w:rFonts w:ascii="Times New Roman" w:eastAsia="宋体" w:hAnsi="Times New Roman" w:cs="宋体" w:hint="eastAsia"/>
          <w:sz w:val="24"/>
        </w:rPr>
        <w:t>（所有部分）</w:t>
      </w:r>
      <w:r w:rsidRPr="009C4D74">
        <w:rPr>
          <w:rFonts w:ascii="Times New Roman" w:eastAsia="宋体" w:hAnsi="Times New Roman" w:cs="宋体" w:hint="eastAsia"/>
          <w:sz w:val="24"/>
        </w:rPr>
        <w:t xml:space="preserve">  </w:t>
      </w:r>
      <w:r w:rsidRPr="009C4D74">
        <w:rPr>
          <w:rFonts w:ascii="Times New Roman" w:eastAsia="宋体" w:hAnsi="Times New Roman" w:cs="宋体" w:hint="eastAsia"/>
          <w:sz w:val="24"/>
        </w:rPr>
        <w:t>无损检测</w:t>
      </w:r>
      <w:r w:rsidRPr="009C4D74">
        <w:rPr>
          <w:rFonts w:ascii="Times New Roman" w:eastAsia="宋体" w:hAnsi="Times New Roman" w:cs="宋体" w:hint="eastAsia"/>
          <w:sz w:val="24"/>
        </w:rPr>
        <w:t xml:space="preserve"> </w:t>
      </w:r>
      <w:r w:rsidRPr="009C4D74">
        <w:rPr>
          <w:rFonts w:ascii="Times New Roman" w:eastAsia="宋体" w:hAnsi="Times New Roman" w:cs="宋体" w:hint="eastAsia"/>
          <w:sz w:val="24"/>
        </w:rPr>
        <w:t>渗透检测</w:t>
      </w:r>
    </w:p>
    <w:p w:rsidR="003E1F61"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GB/T 20975</w:t>
      </w:r>
      <w:r w:rsidRPr="009C4D74">
        <w:rPr>
          <w:rFonts w:ascii="Times New Roman" w:cs="宋体" w:hint="eastAsia"/>
          <w:kern w:val="2"/>
          <w:sz w:val="24"/>
          <w:szCs w:val="24"/>
        </w:rPr>
        <w:t>（所有部分）</w:t>
      </w:r>
      <w:r w:rsidRPr="009C4D74">
        <w:rPr>
          <w:rFonts w:ascii="Times New Roman" w:cs="宋体" w:hint="eastAsia"/>
          <w:kern w:val="2"/>
          <w:sz w:val="24"/>
          <w:szCs w:val="24"/>
        </w:rPr>
        <w:t xml:space="preserve">  </w:t>
      </w:r>
      <w:r w:rsidRPr="009C4D74">
        <w:rPr>
          <w:rFonts w:ascii="Times New Roman" w:cs="宋体" w:hint="eastAsia"/>
          <w:kern w:val="2"/>
          <w:sz w:val="24"/>
          <w:szCs w:val="24"/>
        </w:rPr>
        <w:t>铝及铝合金化学分析方法</w:t>
      </w:r>
    </w:p>
    <w:p w:rsidR="003E1F61" w:rsidRPr="009C4D74" w:rsidRDefault="003E1F61" w:rsidP="009C4D74">
      <w:pPr>
        <w:ind w:firstLineChars="202" w:firstLine="485"/>
        <w:rPr>
          <w:rFonts w:ascii="Times New Roman" w:eastAsia="宋体" w:hAnsi="Times New Roman" w:cs="宋体"/>
          <w:sz w:val="24"/>
        </w:rPr>
      </w:pPr>
      <w:r w:rsidRPr="009C4D74">
        <w:rPr>
          <w:rFonts w:ascii="Times New Roman" w:eastAsia="宋体" w:hAnsi="Times New Roman" w:cs="宋体" w:hint="eastAsia"/>
          <w:sz w:val="24"/>
        </w:rPr>
        <w:t xml:space="preserve">YS/T 591    </w:t>
      </w:r>
      <w:r w:rsidRPr="009C4D74">
        <w:rPr>
          <w:rFonts w:ascii="Times New Roman" w:eastAsia="宋体" w:hAnsi="Times New Roman" w:cs="宋体" w:hint="eastAsia"/>
          <w:sz w:val="24"/>
        </w:rPr>
        <w:t>变形铝及铝合金热处理</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TB/T 2073   </w:t>
      </w:r>
      <w:r w:rsidRPr="009C4D74">
        <w:rPr>
          <w:rFonts w:ascii="Times New Roman" w:cs="宋体" w:hint="eastAsia"/>
          <w:kern w:val="2"/>
          <w:sz w:val="24"/>
          <w:szCs w:val="24"/>
        </w:rPr>
        <w:t>电气化铁路接触网零部件技术条件</w:t>
      </w:r>
    </w:p>
    <w:p w:rsidR="003E1F61" w:rsidRPr="009C4D74" w:rsidRDefault="003E1F61" w:rsidP="009C4D74">
      <w:pPr>
        <w:pStyle w:val="a5"/>
        <w:ind w:firstLineChars="202" w:firstLine="485"/>
        <w:rPr>
          <w:rFonts w:ascii="Times New Roman" w:cs="宋体" w:hint="eastAsia"/>
          <w:kern w:val="2"/>
          <w:sz w:val="24"/>
          <w:szCs w:val="24"/>
        </w:rPr>
      </w:pPr>
      <w:r w:rsidRPr="009C4D74">
        <w:rPr>
          <w:rFonts w:ascii="Times New Roman" w:cs="宋体" w:hint="eastAsia"/>
          <w:kern w:val="2"/>
          <w:sz w:val="24"/>
          <w:szCs w:val="24"/>
        </w:rPr>
        <w:t xml:space="preserve">TB/T 2074   </w:t>
      </w:r>
      <w:r w:rsidRPr="009C4D74">
        <w:rPr>
          <w:rFonts w:ascii="Times New Roman" w:cs="宋体" w:hint="eastAsia"/>
          <w:kern w:val="2"/>
          <w:sz w:val="24"/>
          <w:szCs w:val="24"/>
        </w:rPr>
        <w:t>电气化铁路接触网零部试验方法</w:t>
      </w:r>
    </w:p>
    <w:p w:rsidR="0038250E" w:rsidRPr="009C4D74" w:rsidRDefault="003E1F61" w:rsidP="009C4D74">
      <w:pPr>
        <w:pStyle w:val="a5"/>
        <w:ind w:firstLineChars="202" w:firstLine="485"/>
        <w:rPr>
          <w:rFonts w:ascii="Times New Roman" w:cs="宋体"/>
          <w:kern w:val="2"/>
          <w:sz w:val="24"/>
          <w:szCs w:val="24"/>
        </w:rPr>
      </w:pPr>
      <w:r w:rsidRPr="009C4D74">
        <w:rPr>
          <w:rFonts w:ascii="Times New Roman" w:cs="宋体" w:hint="eastAsia"/>
          <w:kern w:val="2"/>
          <w:sz w:val="24"/>
          <w:szCs w:val="24"/>
        </w:rPr>
        <w:t>TB/T 2075</w:t>
      </w:r>
      <w:r w:rsidRPr="009C4D74">
        <w:rPr>
          <w:rFonts w:ascii="Times New Roman" w:cs="宋体" w:hint="eastAsia"/>
          <w:kern w:val="2"/>
          <w:sz w:val="24"/>
          <w:szCs w:val="24"/>
        </w:rPr>
        <w:t>（所有部分）</w:t>
      </w:r>
      <w:r w:rsidRPr="009C4D74">
        <w:rPr>
          <w:rFonts w:ascii="Times New Roman" w:cs="宋体" w:hint="eastAsia"/>
          <w:kern w:val="2"/>
          <w:sz w:val="24"/>
          <w:szCs w:val="24"/>
        </w:rPr>
        <w:t xml:space="preserve">  </w:t>
      </w:r>
      <w:r w:rsidRPr="009C4D74">
        <w:rPr>
          <w:rFonts w:ascii="Times New Roman" w:cs="宋体" w:hint="eastAsia"/>
          <w:kern w:val="2"/>
          <w:sz w:val="24"/>
          <w:szCs w:val="24"/>
        </w:rPr>
        <w:t>电气化铁路接触网零部件</w:t>
      </w:r>
    </w:p>
    <w:p w:rsidR="0038250E" w:rsidRDefault="008770AF" w:rsidP="008770AF">
      <w:pPr>
        <w:pStyle w:val="a5"/>
        <w:numPr>
          <w:ilvl w:val="0"/>
          <w:numId w:val="4"/>
        </w:numPr>
        <w:spacing w:line="360" w:lineRule="auto"/>
        <w:ind w:firstLine="480"/>
        <w:rPr>
          <w:rFonts w:ascii="Times New Roman" w:cs="宋体"/>
          <w:kern w:val="2"/>
          <w:sz w:val="24"/>
          <w:szCs w:val="24"/>
        </w:rPr>
      </w:pPr>
      <w:r>
        <w:rPr>
          <w:rFonts w:ascii="Times New Roman" w:cs="宋体" w:hint="eastAsia"/>
          <w:kern w:val="2"/>
          <w:sz w:val="24"/>
          <w:szCs w:val="24"/>
        </w:rPr>
        <w:t>规定了高速电气化铁路接触网铝合金锻件的术语与定义；</w:t>
      </w:r>
    </w:p>
    <w:p w:rsidR="0038250E" w:rsidRDefault="008770AF" w:rsidP="008770AF">
      <w:pPr>
        <w:pStyle w:val="a5"/>
        <w:numPr>
          <w:ilvl w:val="0"/>
          <w:numId w:val="4"/>
        </w:numPr>
        <w:spacing w:line="360" w:lineRule="auto"/>
        <w:ind w:firstLine="480"/>
        <w:rPr>
          <w:rFonts w:ascii="Times New Roman" w:cs="宋体"/>
          <w:kern w:val="2"/>
          <w:sz w:val="24"/>
          <w:szCs w:val="24"/>
        </w:rPr>
      </w:pPr>
      <w:r>
        <w:rPr>
          <w:rFonts w:ascii="Times New Roman" w:cs="宋体" w:hint="eastAsia"/>
          <w:kern w:val="2"/>
          <w:sz w:val="24"/>
          <w:szCs w:val="24"/>
        </w:rPr>
        <w:t>根据锻件的类型与使用功能对高速电气化铁路接触网铝合金锻件进行了分类。</w:t>
      </w:r>
    </w:p>
    <w:p w:rsidR="0038250E" w:rsidRDefault="008770AF" w:rsidP="008770AF">
      <w:pPr>
        <w:pStyle w:val="a5"/>
        <w:numPr>
          <w:ilvl w:val="0"/>
          <w:numId w:val="4"/>
        </w:numPr>
        <w:spacing w:line="360" w:lineRule="auto"/>
        <w:ind w:firstLine="480"/>
        <w:rPr>
          <w:rFonts w:ascii="Times New Roman" w:cs="宋体"/>
          <w:sz w:val="24"/>
          <w:szCs w:val="24"/>
        </w:rPr>
      </w:pPr>
      <w:r>
        <w:rPr>
          <w:rFonts w:ascii="Times New Roman" w:cs="宋体" w:hint="eastAsia"/>
          <w:sz w:val="24"/>
          <w:szCs w:val="24"/>
        </w:rPr>
        <w:t>规定了</w:t>
      </w:r>
      <w:r>
        <w:rPr>
          <w:rFonts w:ascii="Times New Roman" w:cs="宋体" w:hint="eastAsia"/>
          <w:kern w:val="2"/>
          <w:sz w:val="24"/>
          <w:szCs w:val="24"/>
        </w:rPr>
        <w:t>高速电气化铁路接触网铝合金锻件的技术要求，其中主要包括原材料要求、锻件尺寸形状与位置公差、锻件性能、锻件外观、显微组织和低倍组织以及锻件的工艺要求；</w:t>
      </w:r>
    </w:p>
    <w:p w:rsidR="0038250E" w:rsidRDefault="008770AF" w:rsidP="008770AF">
      <w:pPr>
        <w:pStyle w:val="a5"/>
        <w:numPr>
          <w:ilvl w:val="0"/>
          <w:numId w:val="4"/>
        </w:numPr>
        <w:spacing w:line="360" w:lineRule="auto"/>
        <w:ind w:firstLine="480"/>
        <w:rPr>
          <w:rFonts w:ascii="Times New Roman" w:cs="宋体"/>
          <w:sz w:val="24"/>
          <w:szCs w:val="24"/>
        </w:rPr>
      </w:pPr>
      <w:r>
        <w:rPr>
          <w:rFonts w:ascii="Times New Roman" w:cs="宋体" w:hint="eastAsia"/>
          <w:kern w:val="2"/>
          <w:sz w:val="24"/>
          <w:szCs w:val="24"/>
        </w:rPr>
        <w:t>规定了高速电气化铁路接触网铝合金锻件的检验要求；其中包括化学成分、表面质量、显微组织、低倍组织、锻件尺寸、形状与位置公差、无损检测、锻件力学性能。</w:t>
      </w:r>
    </w:p>
    <w:p w:rsidR="0038250E" w:rsidRDefault="008770AF" w:rsidP="008770AF">
      <w:pPr>
        <w:pStyle w:val="a5"/>
        <w:numPr>
          <w:ilvl w:val="0"/>
          <w:numId w:val="4"/>
        </w:numPr>
        <w:spacing w:line="360" w:lineRule="auto"/>
        <w:ind w:firstLine="480"/>
        <w:rPr>
          <w:rFonts w:ascii="Times New Roman" w:cs="宋体"/>
          <w:sz w:val="24"/>
          <w:szCs w:val="24"/>
        </w:rPr>
      </w:pPr>
      <w:r>
        <w:rPr>
          <w:rFonts w:ascii="Times New Roman" w:cs="宋体" w:hint="eastAsia"/>
          <w:kern w:val="2"/>
          <w:sz w:val="24"/>
          <w:szCs w:val="24"/>
        </w:rPr>
        <w:t>规定了锻件的检验规则，包括检查和验收、组批的产品规定、锻件的计量方法以及检验的项目和检验数量。</w:t>
      </w:r>
    </w:p>
    <w:p w:rsidR="0038250E" w:rsidRDefault="008770AF" w:rsidP="008770AF">
      <w:pPr>
        <w:pStyle w:val="a5"/>
        <w:numPr>
          <w:ilvl w:val="0"/>
          <w:numId w:val="4"/>
        </w:numPr>
        <w:spacing w:line="360" w:lineRule="auto"/>
        <w:ind w:firstLine="480"/>
        <w:rPr>
          <w:rFonts w:ascii="Times New Roman" w:cs="宋体"/>
          <w:sz w:val="24"/>
          <w:szCs w:val="24"/>
        </w:rPr>
      </w:pPr>
      <w:r>
        <w:rPr>
          <w:rFonts w:ascii="Times New Roman" w:cs="宋体" w:hint="eastAsia"/>
          <w:kern w:val="2"/>
          <w:sz w:val="24"/>
          <w:szCs w:val="24"/>
        </w:rPr>
        <w:t>规定了标识、包装、运输和储存。</w:t>
      </w:r>
    </w:p>
    <w:p w:rsidR="0038250E" w:rsidRDefault="008770AF">
      <w:pPr>
        <w:numPr>
          <w:ilvl w:val="0"/>
          <w:numId w:val="2"/>
        </w:numPr>
        <w:spacing w:line="360" w:lineRule="auto"/>
        <w:rPr>
          <w:rFonts w:ascii="Times New Roman" w:eastAsia="宋体" w:hAnsi="Times New Roman" w:cs="宋体"/>
          <w:sz w:val="24"/>
        </w:rPr>
      </w:pPr>
      <w:r>
        <w:rPr>
          <w:rFonts w:hAnsi="宋体" w:cs="宋体" w:hint="eastAsia"/>
          <w:b/>
          <w:bCs/>
          <w:kern w:val="0"/>
          <w:sz w:val="24"/>
        </w:rPr>
        <w:t>主要试验或验证分析报告的说明</w:t>
      </w:r>
      <w:bookmarkStart w:id="0" w:name="_Toc42244022"/>
      <w:bookmarkStart w:id="1" w:name="_Toc448317004"/>
      <w:bookmarkStart w:id="2" w:name="_Toc448317006"/>
    </w:p>
    <w:p w:rsidR="0038250E" w:rsidRPr="00F01DFF" w:rsidRDefault="008770AF" w:rsidP="00F01DFF">
      <w:pPr>
        <w:numPr>
          <w:ilvl w:val="0"/>
          <w:numId w:val="5"/>
        </w:numPr>
        <w:spacing w:line="360" w:lineRule="auto"/>
        <w:ind w:firstLineChars="200" w:firstLine="480"/>
        <w:jc w:val="left"/>
        <w:rPr>
          <w:rFonts w:ascii="Times New Roman" w:eastAsia="宋体" w:hAnsi="Times New Roman" w:cs="宋体"/>
          <w:sz w:val="24"/>
          <w:lang w:val="zh-CN"/>
        </w:rPr>
      </w:pPr>
      <w:r w:rsidRPr="00F01DFF">
        <w:rPr>
          <w:rFonts w:ascii="Times New Roman" w:eastAsia="宋体" w:hAnsi="Times New Roman" w:cs="宋体" w:hint="eastAsia"/>
          <w:sz w:val="24"/>
          <w:lang w:val="zh-CN"/>
        </w:rPr>
        <w:t>化学成分</w:t>
      </w:r>
    </w:p>
    <w:p w:rsidR="0038250E" w:rsidRPr="00F01DFF" w:rsidRDefault="008770AF" w:rsidP="00F01DFF">
      <w:pPr>
        <w:pStyle w:val="a5"/>
        <w:tabs>
          <w:tab w:val="center" w:pos="4201"/>
          <w:tab w:val="right" w:leader="dot" w:pos="9298"/>
        </w:tabs>
        <w:spacing w:line="360" w:lineRule="auto"/>
        <w:ind w:firstLine="480"/>
        <w:rPr>
          <w:rFonts w:ascii="Times New Roman" w:cs="宋体"/>
          <w:kern w:val="2"/>
          <w:sz w:val="24"/>
          <w:szCs w:val="24"/>
          <w:lang w:val="zh-CN"/>
        </w:rPr>
      </w:pPr>
      <w:r w:rsidRPr="00F01DFF">
        <w:rPr>
          <w:rFonts w:ascii="Times New Roman" w:cs="宋体" w:hint="eastAsia"/>
          <w:kern w:val="2"/>
          <w:sz w:val="24"/>
          <w:szCs w:val="24"/>
          <w:lang w:val="zh-CN"/>
        </w:rPr>
        <w:lastRenderedPageBreak/>
        <w:t>锻件的化学成分试验方法可符合</w:t>
      </w:r>
      <w:r w:rsidRPr="00F01DFF">
        <w:rPr>
          <w:rFonts w:ascii="Times New Roman" w:cs="宋体" w:hint="eastAsia"/>
          <w:kern w:val="2"/>
          <w:sz w:val="24"/>
          <w:szCs w:val="24"/>
          <w:lang w:val="zh-CN"/>
        </w:rPr>
        <w:t>GB/T 7999</w:t>
      </w:r>
      <w:r w:rsidRPr="00F01DFF">
        <w:rPr>
          <w:rFonts w:ascii="Times New Roman" w:cs="宋体" w:hint="eastAsia"/>
          <w:kern w:val="2"/>
          <w:sz w:val="24"/>
          <w:szCs w:val="24"/>
          <w:lang w:val="zh-CN"/>
        </w:rPr>
        <w:t>规定。在氩气气氛中，将按要求加工好的试样置于激发台上，作为一个电极，光源发生器产生的能量使分析物蒸发、原子化并激发，发射出待测元素的特征谱线，经色散系统进行分光后</w:t>
      </w:r>
      <w:r w:rsidRPr="00F01DFF">
        <w:rPr>
          <w:rFonts w:ascii="Times New Roman" w:cs="宋体" w:hint="eastAsia"/>
          <w:kern w:val="2"/>
          <w:sz w:val="24"/>
          <w:szCs w:val="24"/>
          <w:lang w:val="zh-CN"/>
        </w:rPr>
        <w:t>,</w:t>
      </w:r>
      <w:r w:rsidRPr="00F01DFF">
        <w:rPr>
          <w:rFonts w:ascii="Times New Roman" w:cs="宋体" w:hint="eastAsia"/>
          <w:kern w:val="2"/>
          <w:sz w:val="24"/>
          <w:szCs w:val="24"/>
          <w:lang w:val="zh-CN"/>
        </w:rPr>
        <w:t>对选定的内标线和分析线的强度进行测量，根据分析线对的相对强度</w:t>
      </w:r>
      <w:r w:rsidRPr="00F01DFF">
        <w:rPr>
          <w:rFonts w:ascii="Times New Roman" w:cs="宋体" w:hint="eastAsia"/>
          <w:kern w:val="2"/>
          <w:sz w:val="24"/>
          <w:szCs w:val="24"/>
          <w:lang w:val="zh-CN"/>
        </w:rPr>
        <w:t>,</w:t>
      </w:r>
      <w:r w:rsidRPr="00F01DFF">
        <w:rPr>
          <w:rFonts w:ascii="Times New Roman" w:cs="宋体" w:hint="eastAsia"/>
          <w:kern w:val="2"/>
          <w:sz w:val="24"/>
          <w:szCs w:val="24"/>
          <w:lang w:val="zh-CN"/>
        </w:rPr>
        <w:t>由数据处理系统在工作曲线上直接读出结果，实现对试样中待测元素的定量分析。</w:t>
      </w:r>
    </w:p>
    <w:p w:rsidR="0038250E" w:rsidRPr="00F01DFF" w:rsidRDefault="008770AF" w:rsidP="00F01DFF">
      <w:pPr>
        <w:spacing w:line="360" w:lineRule="auto"/>
        <w:ind w:firstLineChars="200" w:firstLine="480"/>
        <w:jc w:val="left"/>
        <w:rPr>
          <w:rFonts w:ascii="Times New Roman" w:eastAsia="宋体" w:hAnsi="Times New Roman" w:cs="宋体"/>
          <w:sz w:val="24"/>
          <w:lang w:val="zh-CN"/>
        </w:rPr>
      </w:pPr>
      <w:r w:rsidRPr="00F01DFF">
        <w:rPr>
          <w:rFonts w:ascii="Times New Roman" w:eastAsia="宋体" w:hAnsi="Times New Roman" w:cs="宋体" w:hint="eastAsia"/>
          <w:sz w:val="24"/>
          <w:lang w:val="zh-CN"/>
        </w:rPr>
        <w:t>验证实例如下（以某型号锻件为例）：</w:t>
      </w:r>
    </w:p>
    <w:p w:rsidR="0038250E" w:rsidRDefault="008770AF">
      <w:pPr>
        <w:spacing w:line="440" w:lineRule="atLeast"/>
        <w:ind w:firstLineChars="200" w:firstLine="420"/>
        <w:jc w:val="left"/>
        <w:rPr>
          <w:rFonts w:ascii="Times New Roman" w:eastAsia="宋体" w:hAnsi="Times New Roman" w:cs="宋体"/>
          <w:sz w:val="24"/>
        </w:rPr>
      </w:pPr>
      <w:r>
        <w:rPr>
          <w:noProof/>
        </w:rPr>
        <w:drawing>
          <wp:inline distT="0" distB="0" distL="114300" distR="114300">
            <wp:extent cx="2870799" cy="2320506"/>
            <wp:effectExtent l="19050" t="0" r="5751"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7"/>
                    <a:stretch>
                      <a:fillRect/>
                    </a:stretch>
                  </pic:blipFill>
                  <pic:spPr>
                    <a:xfrm>
                      <a:off x="0" y="0"/>
                      <a:ext cx="2868519" cy="2318663"/>
                    </a:xfrm>
                    <a:prstGeom prst="rect">
                      <a:avLst/>
                    </a:prstGeom>
                    <a:noFill/>
                    <a:ln>
                      <a:noFill/>
                    </a:ln>
                  </pic:spPr>
                </pic:pic>
              </a:graphicData>
            </a:graphic>
          </wp:inline>
        </w:drawing>
      </w:r>
      <w:r>
        <w:rPr>
          <w:noProof/>
        </w:rPr>
        <w:drawing>
          <wp:inline distT="0" distB="0" distL="114300" distR="114300">
            <wp:extent cx="2017444" cy="2518913"/>
            <wp:effectExtent l="19050" t="0" r="1856"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stretch>
                      <a:fillRect/>
                    </a:stretch>
                  </pic:blipFill>
                  <pic:spPr>
                    <a:xfrm>
                      <a:off x="0" y="0"/>
                      <a:ext cx="2016212" cy="2517374"/>
                    </a:xfrm>
                    <a:prstGeom prst="rect">
                      <a:avLst/>
                    </a:prstGeom>
                    <a:noFill/>
                    <a:ln>
                      <a:noFill/>
                    </a:ln>
                  </pic:spPr>
                </pic:pic>
              </a:graphicData>
            </a:graphic>
          </wp:inline>
        </w:drawing>
      </w:r>
    </w:p>
    <w:p w:rsidR="0038250E" w:rsidRDefault="0038250E" w:rsidP="008770AF">
      <w:pPr>
        <w:pStyle w:val="a5"/>
        <w:tabs>
          <w:tab w:val="center" w:pos="4201"/>
          <w:tab w:val="right" w:leader="dot" w:pos="9298"/>
        </w:tabs>
        <w:ind w:firstLine="480"/>
        <w:jc w:val="center"/>
        <w:rPr>
          <w:rFonts w:ascii="Times New Roman" w:cs="宋体"/>
          <w:kern w:val="2"/>
          <w:sz w:val="24"/>
          <w:szCs w:val="24"/>
        </w:rPr>
      </w:pPr>
    </w:p>
    <w:p w:rsidR="0038250E" w:rsidRDefault="008770AF" w:rsidP="00F01DFF">
      <w:pPr>
        <w:numPr>
          <w:ilvl w:val="0"/>
          <w:numId w:val="5"/>
        </w:num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表面质量、锻件尺寸、形状及位置公差</w:t>
      </w:r>
    </w:p>
    <w:p w:rsidR="0038250E" w:rsidRDefault="008770AF" w:rsidP="00F01DFF">
      <w:pPr>
        <w:pStyle w:val="a5"/>
        <w:tabs>
          <w:tab w:val="center" w:pos="4201"/>
          <w:tab w:val="right" w:leader="dot" w:pos="9298"/>
        </w:tabs>
        <w:spacing w:line="360" w:lineRule="auto"/>
        <w:ind w:firstLine="480"/>
        <w:rPr>
          <w:rFonts w:ascii="Times New Roman" w:cs="宋体"/>
          <w:kern w:val="2"/>
          <w:sz w:val="24"/>
          <w:szCs w:val="24"/>
        </w:rPr>
      </w:pPr>
      <w:r>
        <w:rPr>
          <w:rFonts w:ascii="Times New Roman" w:cs="宋体" w:hint="eastAsia"/>
          <w:kern w:val="2"/>
          <w:sz w:val="24"/>
          <w:szCs w:val="24"/>
        </w:rPr>
        <w:t>铝合金锻件的表面质量检测在光照充分的条件下目视检验。锻件无飞边、毛刺、充填不满等缺陷；</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铝合金锻件尺寸、形状及位置公差需要符合</w:t>
      </w:r>
      <w:r>
        <w:rPr>
          <w:rFonts w:ascii="Times New Roman" w:eastAsia="宋体" w:hAnsi="Times New Roman" w:cs="宋体" w:hint="eastAsia"/>
          <w:sz w:val="24"/>
        </w:rPr>
        <w:t>GB/T 1957</w:t>
      </w:r>
      <w:r>
        <w:rPr>
          <w:rFonts w:ascii="Times New Roman" w:eastAsia="宋体" w:hAnsi="Times New Roman" w:cs="宋体" w:hint="eastAsia"/>
          <w:sz w:val="24"/>
        </w:rPr>
        <w:t>光滑极限量规要求的专用量具检查。</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验证实例如下（以某型号锻件为例）：</w:t>
      </w:r>
    </w:p>
    <w:p w:rsidR="0038250E" w:rsidRDefault="008770AF" w:rsidP="00F01DFF">
      <w:pPr>
        <w:spacing w:line="360" w:lineRule="auto"/>
        <w:ind w:firstLineChars="200" w:firstLine="420"/>
        <w:jc w:val="center"/>
        <w:rPr>
          <w:rFonts w:ascii="Times New Roman" w:eastAsia="宋体" w:hAnsi="Times New Roman" w:cs="宋体"/>
          <w:sz w:val="24"/>
        </w:rPr>
      </w:pPr>
      <w:r>
        <w:rPr>
          <w:noProof/>
        </w:rPr>
        <w:lastRenderedPageBreak/>
        <w:drawing>
          <wp:inline distT="0" distB="0" distL="114300" distR="114300">
            <wp:extent cx="2536825" cy="2908300"/>
            <wp:effectExtent l="0" t="0" r="15875"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
                    <a:stretch>
                      <a:fillRect/>
                    </a:stretch>
                  </pic:blipFill>
                  <pic:spPr>
                    <a:xfrm>
                      <a:off x="0" y="0"/>
                      <a:ext cx="2536825" cy="2908300"/>
                    </a:xfrm>
                    <a:prstGeom prst="rect">
                      <a:avLst/>
                    </a:prstGeom>
                    <a:noFill/>
                    <a:ln>
                      <a:noFill/>
                    </a:ln>
                  </pic:spPr>
                </pic:pic>
              </a:graphicData>
            </a:graphic>
          </wp:inline>
        </w:drawing>
      </w:r>
      <w:r>
        <w:rPr>
          <w:noProof/>
        </w:rPr>
        <w:drawing>
          <wp:inline distT="0" distB="0" distL="114300" distR="114300">
            <wp:extent cx="2062480" cy="2983230"/>
            <wp:effectExtent l="0" t="0" r="139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062480" cy="2983230"/>
                    </a:xfrm>
                    <a:prstGeom prst="rect">
                      <a:avLst/>
                    </a:prstGeom>
                    <a:noFill/>
                    <a:ln>
                      <a:noFill/>
                    </a:ln>
                  </pic:spPr>
                </pic:pic>
              </a:graphicData>
            </a:graphic>
          </wp:inline>
        </w:drawing>
      </w:r>
    </w:p>
    <w:p w:rsidR="0038250E" w:rsidRDefault="008770AF" w:rsidP="00F01DFF">
      <w:pPr>
        <w:numPr>
          <w:ilvl w:val="0"/>
          <w:numId w:val="5"/>
        </w:num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显微组织、低倍组织</w:t>
      </w:r>
    </w:p>
    <w:p w:rsidR="0038250E" w:rsidRDefault="008770AF" w:rsidP="00F01DFF">
      <w:pPr>
        <w:pStyle w:val="a5"/>
        <w:tabs>
          <w:tab w:val="center" w:pos="4201"/>
          <w:tab w:val="right" w:leader="dot" w:pos="9298"/>
        </w:tabs>
        <w:spacing w:line="360" w:lineRule="auto"/>
        <w:ind w:firstLine="480"/>
        <w:rPr>
          <w:rFonts w:ascii="Times New Roman" w:cs="宋体"/>
          <w:kern w:val="2"/>
          <w:sz w:val="24"/>
          <w:szCs w:val="24"/>
        </w:rPr>
      </w:pPr>
      <w:r>
        <w:rPr>
          <w:rFonts w:ascii="Times New Roman" w:cs="宋体" w:hint="eastAsia"/>
          <w:kern w:val="2"/>
          <w:sz w:val="24"/>
          <w:szCs w:val="24"/>
        </w:rPr>
        <w:t>锻件的显微组织检验方法应符合</w:t>
      </w:r>
      <w:r>
        <w:rPr>
          <w:rFonts w:ascii="Times New Roman" w:cs="宋体" w:hint="eastAsia"/>
          <w:kern w:val="2"/>
          <w:sz w:val="24"/>
          <w:szCs w:val="24"/>
        </w:rPr>
        <w:t>GB/T 3246.1</w:t>
      </w:r>
      <w:r>
        <w:rPr>
          <w:rFonts w:ascii="Times New Roman" w:cs="宋体" w:hint="eastAsia"/>
          <w:kern w:val="2"/>
          <w:sz w:val="24"/>
          <w:szCs w:val="24"/>
        </w:rPr>
        <w:t>的规定。利用光学</w:t>
      </w:r>
      <w:r>
        <w:rPr>
          <w:rFonts w:ascii="Times New Roman" w:cs="宋体" w:hint="eastAsia"/>
          <w:kern w:val="2"/>
          <w:sz w:val="24"/>
          <w:szCs w:val="24"/>
        </w:rPr>
        <w:t>(</w:t>
      </w:r>
      <w:r>
        <w:rPr>
          <w:rFonts w:ascii="Times New Roman" w:cs="宋体" w:hint="eastAsia"/>
          <w:kern w:val="2"/>
          <w:sz w:val="24"/>
          <w:szCs w:val="24"/>
        </w:rPr>
        <w:t>金相</w:t>
      </w:r>
      <w:r>
        <w:rPr>
          <w:rFonts w:ascii="Times New Roman" w:cs="宋体" w:hint="eastAsia"/>
          <w:kern w:val="2"/>
          <w:sz w:val="24"/>
          <w:szCs w:val="24"/>
        </w:rPr>
        <w:t>)</w:t>
      </w:r>
      <w:r>
        <w:rPr>
          <w:rFonts w:ascii="Times New Roman" w:cs="宋体" w:hint="eastAsia"/>
          <w:kern w:val="2"/>
          <w:sz w:val="24"/>
          <w:szCs w:val="24"/>
        </w:rPr>
        <w:t>显微镜对构成材料的相和组织组成物、晶粒度、夹杂物等的数量、形态、大小、分布取向、空间排布状态进行分析，评价与表征。</w:t>
      </w:r>
    </w:p>
    <w:p w:rsidR="0038250E" w:rsidRDefault="008770AF" w:rsidP="00F01DFF">
      <w:pPr>
        <w:pStyle w:val="a5"/>
        <w:tabs>
          <w:tab w:val="center" w:pos="4201"/>
          <w:tab w:val="right" w:leader="dot" w:pos="9298"/>
        </w:tabs>
        <w:spacing w:line="360" w:lineRule="auto"/>
        <w:ind w:firstLine="480"/>
        <w:rPr>
          <w:rFonts w:ascii="Times New Roman" w:cs="宋体"/>
          <w:kern w:val="2"/>
          <w:sz w:val="24"/>
          <w:szCs w:val="24"/>
        </w:rPr>
      </w:pPr>
      <w:r>
        <w:rPr>
          <w:rFonts w:ascii="Times New Roman" w:cs="宋体" w:hint="eastAsia"/>
          <w:kern w:val="2"/>
          <w:sz w:val="24"/>
          <w:szCs w:val="24"/>
        </w:rPr>
        <w:t>锻件的低倍组织检验方法应符合</w:t>
      </w:r>
      <w:r>
        <w:rPr>
          <w:rFonts w:ascii="Times New Roman" w:cs="宋体" w:hint="eastAsia"/>
          <w:kern w:val="2"/>
          <w:sz w:val="24"/>
          <w:szCs w:val="24"/>
        </w:rPr>
        <w:t>GB/T 3246.2</w:t>
      </w:r>
      <w:r>
        <w:rPr>
          <w:rFonts w:ascii="Times New Roman" w:cs="宋体" w:hint="eastAsia"/>
          <w:kern w:val="2"/>
          <w:sz w:val="24"/>
          <w:szCs w:val="24"/>
        </w:rPr>
        <w:t>的规定。分别进行粗晶环的测量、晶粒度的检查、检验锻件是否出现疏松，非金属夹杂、白斑等缺陷。</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验证实例如下（以某型号锻件为例）：</w:t>
      </w:r>
    </w:p>
    <w:p w:rsidR="0038250E" w:rsidRDefault="008770AF" w:rsidP="00F01DFF">
      <w:pPr>
        <w:spacing w:line="360" w:lineRule="auto"/>
        <w:ind w:firstLineChars="200" w:firstLine="420"/>
        <w:jc w:val="center"/>
        <w:rPr>
          <w:rFonts w:ascii="Times New Roman" w:eastAsia="宋体" w:hAnsi="Times New Roman" w:cs="宋体"/>
          <w:b/>
          <w:bCs/>
          <w:sz w:val="24"/>
        </w:rPr>
      </w:pPr>
      <w:r>
        <w:rPr>
          <w:noProof/>
        </w:rPr>
        <w:drawing>
          <wp:inline distT="0" distB="0" distL="114300" distR="114300">
            <wp:extent cx="3312160" cy="221996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3312160" cy="2219960"/>
                    </a:xfrm>
                    <a:prstGeom prst="rect">
                      <a:avLst/>
                    </a:prstGeom>
                    <a:noFill/>
                    <a:ln>
                      <a:noFill/>
                    </a:ln>
                  </pic:spPr>
                </pic:pic>
              </a:graphicData>
            </a:graphic>
          </wp:inline>
        </w:drawing>
      </w:r>
    </w:p>
    <w:p w:rsidR="0038250E" w:rsidRDefault="008770AF" w:rsidP="00F01DFF">
      <w:pPr>
        <w:pStyle w:val="a5"/>
        <w:tabs>
          <w:tab w:val="center" w:pos="4201"/>
          <w:tab w:val="right" w:leader="dot" w:pos="9298"/>
        </w:tabs>
        <w:spacing w:line="360" w:lineRule="auto"/>
        <w:ind w:firstLine="420"/>
        <w:jc w:val="center"/>
      </w:pPr>
      <w:r>
        <w:rPr>
          <w:noProof/>
        </w:rPr>
        <w:lastRenderedPageBreak/>
        <w:drawing>
          <wp:inline distT="0" distB="0" distL="114300" distR="114300">
            <wp:extent cx="3760470" cy="3701415"/>
            <wp:effectExtent l="0" t="0" r="1143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760470" cy="3701415"/>
                    </a:xfrm>
                    <a:prstGeom prst="rect">
                      <a:avLst/>
                    </a:prstGeom>
                    <a:noFill/>
                    <a:ln>
                      <a:noFill/>
                    </a:ln>
                  </pic:spPr>
                </pic:pic>
              </a:graphicData>
            </a:graphic>
          </wp:inline>
        </w:drawing>
      </w:r>
    </w:p>
    <w:p w:rsidR="0038250E" w:rsidRDefault="0038250E" w:rsidP="00F01DFF">
      <w:pPr>
        <w:pStyle w:val="a5"/>
        <w:tabs>
          <w:tab w:val="center" w:pos="4201"/>
          <w:tab w:val="right" w:leader="dot" w:pos="9298"/>
        </w:tabs>
        <w:spacing w:line="360" w:lineRule="auto"/>
        <w:ind w:firstLine="420"/>
        <w:jc w:val="center"/>
      </w:pPr>
    </w:p>
    <w:p w:rsidR="0038250E" w:rsidRDefault="008770AF" w:rsidP="00F01DFF">
      <w:pPr>
        <w:numPr>
          <w:ilvl w:val="0"/>
          <w:numId w:val="5"/>
        </w:num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锻件机械强度</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T6</w:t>
      </w:r>
      <w:r>
        <w:rPr>
          <w:rFonts w:ascii="Times New Roman" w:eastAsia="宋体" w:hAnsi="Times New Roman" w:cs="宋体" w:hint="eastAsia"/>
          <w:sz w:val="24"/>
        </w:rPr>
        <w:t>热处理后应做锻件实体或同批次热变形后随炉试棒力学性能检验，以锻件实体或者热变形后随炉试棒为原材料进行车削加工，最终加工为标准试棒，采用万能拉力机进行强度、伸长率等性能的检验，检验结果应符合</w:t>
      </w:r>
      <w:r>
        <w:rPr>
          <w:rFonts w:ascii="Times New Roman" w:eastAsia="宋体" w:hAnsi="Times New Roman" w:cs="宋体" w:hint="eastAsia"/>
          <w:sz w:val="24"/>
        </w:rPr>
        <w:t>GB/T 6892</w:t>
      </w:r>
      <w:r>
        <w:rPr>
          <w:rFonts w:ascii="Times New Roman" w:eastAsia="宋体" w:hAnsi="Times New Roman" w:cs="宋体" w:hint="eastAsia"/>
          <w:sz w:val="24"/>
        </w:rPr>
        <w:t>中的要求。</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验证实例如下（以某型号锻件为例）：</w:t>
      </w:r>
    </w:p>
    <w:p w:rsidR="0038250E" w:rsidRDefault="008770AF" w:rsidP="00F01DFF">
      <w:pPr>
        <w:spacing w:line="360" w:lineRule="auto"/>
        <w:ind w:firstLineChars="200" w:firstLine="420"/>
        <w:jc w:val="center"/>
        <w:rPr>
          <w:rFonts w:ascii="Times New Roman" w:eastAsia="宋体" w:hAnsi="Times New Roman" w:cs="宋体"/>
          <w:sz w:val="24"/>
        </w:rPr>
      </w:pPr>
      <w:r>
        <w:rPr>
          <w:noProof/>
        </w:rPr>
        <w:drawing>
          <wp:inline distT="0" distB="0" distL="114300" distR="114300">
            <wp:extent cx="2339975" cy="2564765"/>
            <wp:effectExtent l="0" t="0" r="3175" b="698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2339975" cy="2564765"/>
                    </a:xfrm>
                    <a:prstGeom prst="rect">
                      <a:avLst/>
                    </a:prstGeom>
                    <a:noFill/>
                    <a:ln>
                      <a:noFill/>
                    </a:ln>
                  </pic:spPr>
                </pic:pic>
              </a:graphicData>
            </a:graphic>
          </wp:inline>
        </w:drawing>
      </w:r>
      <w:r>
        <w:rPr>
          <w:noProof/>
        </w:rPr>
        <w:drawing>
          <wp:inline distT="0" distB="0" distL="114300" distR="114300">
            <wp:extent cx="2444115" cy="2569845"/>
            <wp:effectExtent l="0" t="0" r="1333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444115" cy="2569845"/>
                    </a:xfrm>
                    <a:prstGeom prst="rect">
                      <a:avLst/>
                    </a:prstGeom>
                    <a:noFill/>
                    <a:ln>
                      <a:noFill/>
                    </a:ln>
                  </pic:spPr>
                </pic:pic>
              </a:graphicData>
            </a:graphic>
          </wp:inline>
        </w:drawing>
      </w:r>
      <w:r>
        <w:rPr>
          <w:noProof/>
        </w:rPr>
        <w:lastRenderedPageBreak/>
        <w:drawing>
          <wp:inline distT="0" distB="0" distL="114300" distR="114300">
            <wp:extent cx="1567180" cy="2785110"/>
            <wp:effectExtent l="0" t="0" r="13970" b="15240"/>
            <wp:docPr id="22" name="图片 22" descr="796c0d307059a277e19d112d2813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96c0d307059a277e19d112d2813af7"/>
                    <pic:cNvPicPr>
                      <a:picLocks noChangeAspect="1"/>
                    </pic:cNvPicPr>
                  </pic:nvPicPr>
                  <pic:blipFill>
                    <a:blip r:embed="rId15"/>
                    <a:stretch>
                      <a:fillRect/>
                    </a:stretch>
                  </pic:blipFill>
                  <pic:spPr>
                    <a:xfrm>
                      <a:off x="0" y="0"/>
                      <a:ext cx="1567180" cy="2785110"/>
                    </a:xfrm>
                    <a:prstGeom prst="rect">
                      <a:avLst/>
                    </a:prstGeom>
                  </pic:spPr>
                </pic:pic>
              </a:graphicData>
            </a:graphic>
          </wp:inline>
        </w:drawing>
      </w:r>
      <w:r>
        <w:rPr>
          <w:noProof/>
        </w:rPr>
        <w:drawing>
          <wp:inline distT="0" distB="0" distL="114300" distR="114300">
            <wp:extent cx="2665562" cy="3114709"/>
            <wp:effectExtent l="19050" t="0" r="1438"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664809" cy="3113829"/>
                    </a:xfrm>
                    <a:prstGeom prst="rect">
                      <a:avLst/>
                    </a:prstGeom>
                    <a:noFill/>
                    <a:ln>
                      <a:noFill/>
                    </a:ln>
                  </pic:spPr>
                </pic:pic>
              </a:graphicData>
            </a:graphic>
          </wp:inline>
        </w:drawing>
      </w:r>
    </w:p>
    <w:p w:rsidR="0038250E" w:rsidRDefault="008770AF" w:rsidP="00F01DFF">
      <w:pPr>
        <w:numPr>
          <w:ilvl w:val="0"/>
          <w:numId w:val="5"/>
        </w:num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锻件组装后力学性能试验</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锻件组装完成后参照锻件的工作条件进行破坏载荷试验、耐拉伸（压缩）载荷试验、滑动载荷试验、疲劳试验。</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在破坏荷载试验中，锻件在达到规定破坏荷载值以前，不应产生断裂、破损或失去使用功能的现象。锻件的实际破坏荷载值为试件断裂、破损或失去使用功能的荷载值。。</w:t>
      </w:r>
      <w:r>
        <w:rPr>
          <w:rFonts w:ascii="Times New Roman" w:eastAsia="宋体" w:hAnsi="Times New Roman" w:cs="宋体" w:hint="eastAsia"/>
          <w:sz w:val="24"/>
        </w:rPr>
        <w:t xml:space="preserve"> </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锻件组装后的耐拉伸（压缩）荷载值按照</w:t>
      </w:r>
      <w:r>
        <w:rPr>
          <w:rFonts w:ascii="Times New Roman" w:eastAsia="宋体" w:hAnsi="Times New Roman" w:cs="宋体" w:hint="eastAsia"/>
          <w:sz w:val="24"/>
        </w:rPr>
        <w:t xml:space="preserve">TB/T2075-2020 </w:t>
      </w:r>
      <w:r>
        <w:rPr>
          <w:rFonts w:ascii="Times New Roman" w:eastAsia="宋体" w:hAnsi="Times New Roman" w:cs="宋体" w:hint="eastAsia"/>
          <w:sz w:val="24"/>
        </w:rPr>
        <w:t>和设计图样规定的耐拉伸（压缩）荷载值选取。对小变形量锻件，变形量或挠度测量采用分辨力不低于</w:t>
      </w:r>
      <w:r>
        <w:rPr>
          <w:rFonts w:ascii="Times New Roman" w:eastAsia="宋体" w:hAnsi="Times New Roman" w:cs="宋体" w:hint="eastAsia"/>
          <w:sz w:val="24"/>
        </w:rPr>
        <w:t>0.02mm</w:t>
      </w:r>
      <w:r>
        <w:rPr>
          <w:rFonts w:ascii="Times New Roman" w:eastAsia="宋体" w:hAnsi="Times New Roman" w:cs="宋体" w:hint="eastAsia"/>
          <w:sz w:val="24"/>
        </w:rPr>
        <w:t>测量装置，对大变形量锻件，变形量或挠度测量采用分度值为</w:t>
      </w:r>
      <w:r>
        <w:rPr>
          <w:rFonts w:ascii="Times New Roman" w:eastAsia="宋体" w:hAnsi="Times New Roman" w:cs="宋体" w:hint="eastAsia"/>
          <w:sz w:val="24"/>
        </w:rPr>
        <w:t>mm</w:t>
      </w:r>
      <w:r>
        <w:rPr>
          <w:rFonts w:ascii="Times New Roman" w:eastAsia="宋体" w:hAnsi="Times New Roman" w:cs="宋体" w:hint="eastAsia"/>
          <w:sz w:val="24"/>
        </w:rPr>
        <w:t>钢卷尺，也可以采用图像法测量变形量或挠度。</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锻件组装后的滑动荷载值按照标准和设计图样所规定的荷载值选取。试样按实际受力状态进行安装，线索露出线夹或接续元件端部</w:t>
      </w:r>
      <w:r>
        <w:rPr>
          <w:rFonts w:ascii="Times New Roman" w:eastAsia="宋体" w:hAnsi="Times New Roman" w:cs="宋体" w:hint="eastAsia"/>
          <w:sz w:val="24"/>
        </w:rPr>
        <w:t>30mm</w:t>
      </w:r>
      <w:r>
        <w:rPr>
          <w:rFonts w:ascii="Times New Roman" w:eastAsia="宋体" w:hAnsi="Times New Roman" w:cs="宋体" w:hint="eastAsia"/>
          <w:sz w:val="24"/>
        </w:rPr>
        <w:t>以上，试验荷载方向应沿接续元件的轴线方向，有偏移时则需使试验机夹头与试件之间保持</w:t>
      </w:r>
      <w:r>
        <w:rPr>
          <w:rFonts w:ascii="Times New Roman" w:eastAsia="宋体" w:hAnsi="Times New Roman" w:cs="宋体" w:hint="eastAsia"/>
          <w:sz w:val="24"/>
        </w:rPr>
        <w:t>300mm~500mm</w:t>
      </w:r>
      <w:r>
        <w:rPr>
          <w:rFonts w:ascii="Times New Roman" w:eastAsia="宋体" w:hAnsi="Times New Roman" w:cs="宋体" w:hint="eastAsia"/>
          <w:sz w:val="24"/>
        </w:rPr>
        <w:t>的距离。</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装后的振动试验将被试零件按要求安装在振动场上，调整接触网张力和试验频率，在接触网不发生共振的最大频率开始振动试验。振动试验过程中定期检查零件状态，试验过程允许中断，振动次数按实际记录振动次数累加。</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锻件组合后的疲劳试验在疲劳试验装置上进行，按照实际使用状态安装，根据实际使用的工况，进行试验，定期检查零件的状态，失效后停止试验。试验过</w:t>
      </w:r>
      <w:r>
        <w:rPr>
          <w:rFonts w:ascii="Times New Roman" w:eastAsia="宋体" w:hAnsi="Times New Roman" w:cs="宋体" w:hint="eastAsia"/>
          <w:sz w:val="24"/>
        </w:rPr>
        <w:lastRenderedPageBreak/>
        <w:t>程允许中断，疲劳次数按实际记录振动次数累加。</w:t>
      </w:r>
    </w:p>
    <w:p w:rsidR="0038250E" w:rsidRDefault="008770AF" w:rsidP="00F01DFF">
      <w:pPr>
        <w:spacing w:line="360" w:lineRule="auto"/>
        <w:ind w:firstLineChars="200" w:firstLine="480"/>
        <w:jc w:val="left"/>
        <w:rPr>
          <w:rFonts w:ascii="Times New Roman" w:eastAsia="宋体" w:hAnsi="Times New Roman" w:cs="宋体"/>
          <w:sz w:val="24"/>
        </w:rPr>
      </w:pPr>
      <w:r>
        <w:rPr>
          <w:rFonts w:ascii="Times New Roman" w:eastAsia="宋体" w:hAnsi="Times New Roman" w:cs="宋体" w:hint="eastAsia"/>
          <w:sz w:val="24"/>
        </w:rPr>
        <w:t>验证实例如下（以某型号锻件为例）：</w:t>
      </w:r>
    </w:p>
    <w:p w:rsidR="0038250E" w:rsidRDefault="008770AF" w:rsidP="00F01DFF">
      <w:pPr>
        <w:spacing w:line="360" w:lineRule="auto"/>
        <w:ind w:firstLineChars="200" w:firstLine="420"/>
        <w:jc w:val="center"/>
      </w:pPr>
      <w:r>
        <w:rPr>
          <w:noProof/>
        </w:rPr>
        <w:drawing>
          <wp:inline distT="0" distB="0" distL="114300" distR="114300">
            <wp:extent cx="2019935" cy="2738755"/>
            <wp:effectExtent l="0" t="0" r="1841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019935" cy="2738755"/>
                    </a:xfrm>
                    <a:prstGeom prst="rect">
                      <a:avLst/>
                    </a:prstGeom>
                    <a:noFill/>
                    <a:ln>
                      <a:noFill/>
                    </a:ln>
                  </pic:spPr>
                </pic:pic>
              </a:graphicData>
            </a:graphic>
          </wp:inline>
        </w:drawing>
      </w:r>
      <w:r>
        <w:rPr>
          <w:noProof/>
        </w:rPr>
        <w:drawing>
          <wp:inline distT="0" distB="0" distL="114300" distR="114300">
            <wp:extent cx="2013585" cy="2732405"/>
            <wp:effectExtent l="0" t="0" r="571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013585" cy="2732405"/>
                    </a:xfrm>
                    <a:prstGeom prst="rect">
                      <a:avLst/>
                    </a:prstGeom>
                    <a:noFill/>
                    <a:ln>
                      <a:noFill/>
                    </a:ln>
                  </pic:spPr>
                </pic:pic>
              </a:graphicData>
            </a:graphic>
          </wp:inline>
        </w:drawing>
      </w:r>
    </w:p>
    <w:p w:rsidR="0038250E" w:rsidRDefault="008770AF" w:rsidP="00F01DFF">
      <w:pPr>
        <w:spacing w:line="360" w:lineRule="auto"/>
        <w:ind w:firstLineChars="200" w:firstLine="420"/>
        <w:jc w:val="center"/>
      </w:pPr>
      <w:bookmarkStart w:id="3" w:name="_GoBack"/>
      <w:r>
        <w:rPr>
          <w:noProof/>
        </w:rPr>
        <w:drawing>
          <wp:inline distT="0" distB="0" distL="114300" distR="114300">
            <wp:extent cx="4002657" cy="2892398"/>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4009834" cy="2897585"/>
                    </a:xfrm>
                    <a:prstGeom prst="rect">
                      <a:avLst/>
                    </a:prstGeom>
                    <a:noFill/>
                    <a:ln>
                      <a:noFill/>
                    </a:ln>
                  </pic:spPr>
                </pic:pic>
              </a:graphicData>
            </a:graphic>
          </wp:inline>
        </w:drawing>
      </w:r>
      <w:bookmarkEnd w:id="3"/>
    </w:p>
    <w:p w:rsidR="0038250E" w:rsidRDefault="008770AF" w:rsidP="00F01DFF">
      <w:pPr>
        <w:spacing w:line="360" w:lineRule="auto"/>
        <w:ind w:firstLineChars="200" w:firstLine="420"/>
        <w:jc w:val="center"/>
        <w:rPr>
          <w:rFonts w:ascii="Times New Roman" w:eastAsia="宋体" w:hAnsi="Times New Roman" w:cs="宋体"/>
          <w:sz w:val="24"/>
        </w:rPr>
      </w:pPr>
      <w:r>
        <w:rPr>
          <w:noProof/>
        </w:rPr>
        <w:lastRenderedPageBreak/>
        <w:drawing>
          <wp:inline distT="0" distB="0" distL="114300" distR="114300">
            <wp:extent cx="5271135" cy="3310890"/>
            <wp:effectExtent l="0" t="0" r="571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1135" cy="3310890"/>
                    </a:xfrm>
                    <a:prstGeom prst="rect">
                      <a:avLst/>
                    </a:prstGeom>
                    <a:noFill/>
                    <a:ln>
                      <a:noFill/>
                    </a:ln>
                  </pic:spPr>
                </pic:pic>
              </a:graphicData>
            </a:graphic>
          </wp:inline>
        </w:drawing>
      </w:r>
    </w:p>
    <w:bookmarkEnd w:id="0"/>
    <w:bookmarkEnd w:id="1"/>
    <w:bookmarkEnd w:id="2"/>
    <w:p w:rsidR="0038250E" w:rsidRDefault="008770AF" w:rsidP="00F01DFF">
      <w:pPr>
        <w:numPr>
          <w:ilvl w:val="0"/>
          <w:numId w:val="2"/>
        </w:numPr>
        <w:spacing w:line="360" w:lineRule="auto"/>
        <w:rPr>
          <w:rFonts w:hAnsi="宋体" w:cs="宋体"/>
          <w:b/>
          <w:bCs/>
          <w:kern w:val="0"/>
          <w:sz w:val="24"/>
        </w:rPr>
      </w:pPr>
      <w:r>
        <w:rPr>
          <w:rFonts w:hAnsi="宋体" w:cs="宋体" w:hint="eastAsia"/>
          <w:b/>
          <w:bCs/>
          <w:kern w:val="0"/>
          <w:sz w:val="24"/>
        </w:rPr>
        <w:t>重大分歧意见的解决过程和结果</w:t>
      </w:r>
    </w:p>
    <w:p w:rsidR="0038250E" w:rsidRDefault="008770AF" w:rsidP="00F01DF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无。</w:t>
      </w:r>
    </w:p>
    <w:p w:rsidR="0038250E" w:rsidRDefault="008770AF" w:rsidP="00F01DFF">
      <w:pPr>
        <w:numPr>
          <w:ilvl w:val="0"/>
          <w:numId w:val="2"/>
        </w:numPr>
        <w:spacing w:line="360" w:lineRule="auto"/>
        <w:rPr>
          <w:rFonts w:hAnsi="宋体" w:cs="宋体"/>
          <w:b/>
          <w:bCs/>
          <w:kern w:val="0"/>
          <w:sz w:val="24"/>
        </w:rPr>
      </w:pPr>
      <w:r>
        <w:rPr>
          <w:rFonts w:hAnsi="宋体" w:cs="宋体" w:hint="eastAsia"/>
          <w:b/>
          <w:bCs/>
          <w:kern w:val="0"/>
          <w:sz w:val="24"/>
        </w:rPr>
        <w:t>实施标准的要求与措施建议</w:t>
      </w:r>
    </w:p>
    <w:p w:rsidR="0038250E" w:rsidRDefault="008770AF" w:rsidP="00F01DF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本标准发布实施后，中国锻压协会标准化技术委员会将给相关企业寄送标准文本，并通过相关网站、期刊、会议等渠道宣贯本标准，使广大企业了解、掌握、执行本标准。</w:t>
      </w:r>
    </w:p>
    <w:p w:rsidR="0038250E" w:rsidRDefault="008770AF" w:rsidP="00F01DF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建议本标准批准发布</w:t>
      </w:r>
      <w:r w:rsidR="00104AE7">
        <w:rPr>
          <w:rFonts w:ascii="Times New Roman" w:eastAsia="宋体" w:hAnsi="Times New Roman" w:cs="宋体" w:hint="eastAsia"/>
          <w:sz w:val="24"/>
        </w:rPr>
        <w:t>1</w:t>
      </w:r>
      <w:r>
        <w:rPr>
          <w:rFonts w:ascii="Times New Roman" w:eastAsia="宋体" w:hAnsi="Times New Roman" w:cs="宋体" w:hint="eastAsia"/>
          <w:sz w:val="24"/>
        </w:rPr>
        <w:t>个月后实施。</w:t>
      </w:r>
    </w:p>
    <w:p w:rsidR="0038250E" w:rsidRDefault="008770AF" w:rsidP="00F01DFF">
      <w:pPr>
        <w:numPr>
          <w:ilvl w:val="0"/>
          <w:numId w:val="2"/>
        </w:numPr>
        <w:spacing w:line="360" w:lineRule="auto"/>
        <w:rPr>
          <w:rFonts w:hAnsi="宋体" w:cs="宋体"/>
          <w:b/>
          <w:bCs/>
          <w:kern w:val="0"/>
          <w:sz w:val="24"/>
        </w:rPr>
      </w:pPr>
      <w:r>
        <w:rPr>
          <w:rFonts w:hAnsi="宋体" w:cs="宋体" w:hint="eastAsia"/>
          <w:b/>
          <w:bCs/>
          <w:kern w:val="0"/>
          <w:sz w:val="24"/>
        </w:rPr>
        <w:t>标准中涉及专利的情况</w:t>
      </w:r>
    </w:p>
    <w:p w:rsidR="0038250E" w:rsidRDefault="008770AF" w:rsidP="00F01DF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本标准不涉及专利及知识产权问题。</w:t>
      </w:r>
    </w:p>
    <w:p w:rsidR="0038250E" w:rsidRDefault="008770AF" w:rsidP="00F01DFF">
      <w:pPr>
        <w:numPr>
          <w:ilvl w:val="0"/>
          <w:numId w:val="2"/>
        </w:numPr>
        <w:spacing w:line="360" w:lineRule="auto"/>
        <w:rPr>
          <w:rFonts w:hAnsi="宋体" w:cs="宋体"/>
          <w:b/>
          <w:bCs/>
          <w:kern w:val="0"/>
          <w:sz w:val="24"/>
        </w:rPr>
      </w:pPr>
      <w:r>
        <w:rPr>
          <w:rFonts w:hAnsi="宋体" w:cs="宋体" w:hint="eastAsia"/>
          <w:b/>
          <w:bCs/>
          <w:kern w:val="0"/>
          <w:sz w:val="24"/>
        </w:rPr>
        <w:t>标准水平建议，预期的社会经济效果</w:t>
      </w:r>
    </w:p>
    <w:p w:rsidR="0038250E" w:rsidRDefault="008770AF" w:rsidP="00F01DFF">
      <w:pPr>
        <w:spacing w:line="360" w:lineRule="auto"/>
        <w:ind w:firstLineChars="200" w:firstLine="480"/>
        <w:rPr>
          <w:rFonts w:ascii="Times New Roman" w:eastAsia="宋体" w:hAnsi="Times New Roman" w:cs="宋体"/>
          <w:sz w:val="24"/>
        </w:rPr>
      </w:pPr>
      <w:r>
        <w:rPr>
          <w:rFonts w:ascii="Times New Roman" w:eastAsia="宋体" w:hAnsi="Times New Roman" w:cs="宋体" w:hint="eastAsia"/>
          <w:sz w:val="24"/>
        </w:rPr>
        <w:t>本标准的制定与实施，能够有效的促进我国高速电气化铁路接触网铝合金锻件的技术发展，推动锻造工艺流程的标准化，提高了锻件产品的质量，对我国的高速电气化铁路接触网铝合金锻件的发展起得了积极的推动作用，并且顺应我国产业发展的需求，填补了行业空白。</w:t>
      </w:r>
    </w:p>
    <w:p w:rsidR="0020659B" w:rsidRPr="0020659B" w:rsidRDefault="008770AF" w:rsidP="0020659B">
      <w:pPr>
        <w:numPr>
          <w:ilvl w:val="0"/>
          <w:numId w:val="2"/>
        </w:numPr>
        <w:spacing w:line="360" w:lineRule="auto"/>
        <w:rPr>
          <w:rFonts w:hAnsi="宋体" w:cs="宋体"/>
          <w:b/>
          <w:bCs/>
          <w:kern w:val="0"/>
          <w:sz w:val="24"/>
        </w:rPr>
      </w:pPr>
      <w:r>
        <w:rPr>
          <w:rFonts w:hAnsi="宋体" w:cs="宋体" w:hint="eastAsia"/>
          <w:b/>
          <w:bCs/>
          <w:kern w:val="0"/>
          <w:sz w:val="24"/>
        </w:rPr>
        <w:t>其他需要说明的事项</w:t>
      </w:r>
    </w:p>
    <w:p w:rsidR="0038250E" w:rsidRDefault="008770AF" w:rsidP="00F01DFF">
      <w:pPr>
        <w:spacing w:line="360" w:lineRule="auto"/>
        <w:ind w:firstLineChars="200" w:firstLine="480"/>
        <w:rPr>
          <w:rFonts w:ascii="Times New Roman" w:eastAsia="宋体" w:hAnsi="Times New Roman" w:cs="宋体" w:hint="eastAsia"/>
          <w:sz w:val="24"/>
        </w:rPr>
      </w:pPr>
      <w:r>
        <w:rPr>
          <w:rFonts w:ascii="Times New Roman" w:eastAsia="宋体" w:hAnsi="Times New Roman" w:cs="宋体" w:hint="eastAsia"/>
          <w:sz w:val="24"/>
        </w:rPr>
        <w:t>无。</w:t>
      </w:r>
    </w:p>
    <w:p w:rsidR="009C4D74" w:rsidRDefault="0020659B" w:rsidP="0081302F">
      <w:pPr>
        <w:spacing w:line="360" w:lineRule="auto"/>
        <w:ind w:firstLineChars="200" w:firstLine="440"/>
        <w:jc w:val="right"/>
        <w:rPr>
          <w:rFonts w:hAnsi="宋体" w:cs="宋体" w:hint="eastAsia"/>
          <w:bCs/>
          <w:kern w:val="0"/>
          <w:sz w:val="22"/>
          <w:szCs w:val="30"/>
        </w:rPr>
      </w:pPr>
      <w:r w:rsidRPr="0081302F">
        <w:rPr>
          <w:rFonts w:hAnsi="宋体" w:cs="宋体" w:hint="eastAsia"/>
          <w:bCs/>
          <w:kern w:val="0"/>
          <w:sz w:val="22"/>
          <w:szCs w:val="30"/>
        </w:rPr>
        <w:t>《高速电气化铁路接触网铝合金锻件通用技术条件》</w:t>
      </w:r>
      <w:r w:rsidR="0081302F" w:rsidRPr="0081302F">
        <w:rPr>
          <w:rFonts w:hAnsi="宋体" w:cs="宋体" w:hint="eastAsia"/>
          <w:bCs/>
          <w:kern w:val="0"/>
          <w:sz w:val="22"/>
          <w:szCs w:val="30"/>
        </w:rPr>
        <w:t>起草编制组</w:t>
      </w:r>
    </w:p>
    <w:p w:rsidR="0081302F" w:rsidRPr="0081302F" w:rsidRDefault="0081302F" w:rsidP="0081302F">
      <w:pPr>
        <w:spacing w:line="360" w:lineRule="auto"/>
        <w:ind w:firstLineChars="200" w:firstLine="440"/>
        <w:jc w:val="right"/>
        <w:rPr>
          <w:rFonts w:ascii="Times New Roman" w:eastAsia="宋体" w:hAnsi="Times New Roman" w:cs="宋体"/>
          <w:sz w:val="20"/>
        </w:rPr>
      </w:pPr>
      <w:r>
        <w:rPr>
          <w:rFonts w:hAnsi="宋体" w:cs="宋体" w:hint="eastAsia"/>
          <w:bCs/>
          <w:kern w:val="0"/>
          <w:sz w:val="22"/>
          <w:szCs w:val="30"/>
        </w:rPr>
        <w:t>2025</w:t>
      </w:r>
      <w:r>
        <w:rPr>
          <w:rFonts w:hAnsi="宋体" w:cs="宋体" w:hint="eastAsia"/>
          <w:bCs/>
          <w:kern w:val="0"/>
          <w:sz w:val="22"/>
          <w:szCs w:val="30"/>
        </w:rPr>
        <w:t>年</w:t>
      </w:r>
      <w:r>
        <w:rPr>
          <w:rFonts w:hAnsi="宋体" w:cs="宋体" w:hint="eastAsia"/>
          <w:bCs/>
          <w:kern w:val="0"/>
          <w:sz w:val="22"/>
          <w:szCs w:val="30"/>
        </w:rPr>
        <w:t>2</w:t>
      </w:r>
      <w:r>
        <w:rPr>
          <w:rFonts w:hAnsi="宋体" w:cs="宋体" w:hint="eastAsia"/>
          <w:bCs/>
          <w:kern w:val="0"/>
          <w:sz w:val="22"/>
          <w:szCs w:val="30"/>
        </w:rPr>
        <w:t>月</w:t>
      </w:r>
      <w:r>
        <w:rPr>
          <w:rFonts w:hAnsi="宋体" w:cs="宋体" w:hint="eastAsia"/>
          <w:bCs/>
          <w:kern w:val="0"/>
          <w:sz w:val="22"/>
          <w:szCs w:val="30"/>
        </w:rPr>
        <w:t>17</w:t>
      </w:r>
      <w:r>
        <w:rPr>
          <w:rFonts w:hAnsi="宋体" w:cs="宋体" w:hint="eastAsia"/>
          <w:bCs/>
          <w:kern w:val="0"/>
          <w:sz w:val="22"/>
          <w:szCs w:val="30"/>
        </w:rPr>
        <w:t>日</w:t>
      </w:r>
    </w:p>
    <w:sectPr w:rsidR="0081302F" w:rsidRPr="0081302F" w:rsidSect="0038250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59B" w:rsidRDefault="0020659B" w:rsidP="008770AF">
      <w:r>
        <w:separator/>
      </w:r>
    </w:p>
  </w:endnote>
  <w:endnote w:type="continuationSeparator" w:id="1">
    <w:p w:rsidR="0020659B" w:rsidRDefault="0020659B" w:rsidP="008770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59B" w:rsidRDefault="0020659B" w:rsidP="008770AF">
      <w:r>
        <w:separator/>
      </w:r>
    </w:p>
  </w:footnote>
  <w:footnote w:type="continuationSeparator" w:id="1">
    <w:p w:rsidR="0020659B" w:rsidRDefault="0020659B" w:rsidP="008770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FBA1B1"/>
    <w:multiLevelType w:val="singleLevel"/>
    <w:tmpl w:val="94FBA1B1"/>
    <w:lvl w:ilvl="0">
      <w:start w:val="1"/>
      <w:numFmt w:val="decimal"/>
      <w:suff w:val="nothing"/>
      <w:lvlText w:val="%1、"/>
      <w:lvlJc w:val="left"/>
    </w:lvl>
  </w:abstractNum>
  <w:abstractNum w:abstractNumId="1">
    <w:nsid w:val="BABB0207"/>
    <w:multiLevelType w:val="singleLevel"/>
    <w:tmpl w:val="BABB0207"/>
    <w:lvl w:ilvl="0">
      <w:start w:val="1"/>
      <w:numFmt w:val="chineseCounting"/>
      <w:suff w:val="nothing"/>
      <w:lvlText w:val="%1、"/>
      <w:lvlJc w:val="left"/>
      <w:rPr>
        <w:rFonts w:hint="eastAsia"/>
      </w:rPr>
    </w:lvl>
  </w:abstractNum>
  <w:abstractNum w:abstractNumId="2">
    <w:nsid w:val="D9BAA09E"/>
    <w:multiLevelType w:val="singleLevel"/>
    <w:tmpl w:val="D9BAA09E"/>
    <w:lvl w:ilvl="0">
      <w:start w:val="1"/>
      <w:numFmt w:val="decimal"/>
      <w:lvlText w:val="%1."/>
      <w:lvlJc w:val="left"/>
      <w:pPr>
        <w:tabs>
          <w:tab w:val="left" w:pos="312"/>
        </w:tabs>
      </w:pPr>
    </w:lvl>
  </w:abstractNum>
  <w:abstractNum w:abstractNumId="3">
    <w:nsid w:val="31C12E2C"/>
    <w:multiLevelType w:val="singleLevel"/>
    <w:tmpl w:val="31C12E2C"/>
    <w:lvl w:ilvl="0">
      <w:start w:val="1"/>
      <w:numFmt w:val="decimal"/>
      <w:lvlText w:val="%1."/>
      <w:lvlJc w:val="left"/>
      <w:pPr>
        <w:tabs>
          <w:tab w:val="left" w:pos="312"/>
        </w:tabs>
      </w:pPr>
    </w:lvl>
  </w:abstractNum>
  <w:abstractNum w:abstractNumId="4">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
      <w:suff w:val="nothing"/>
      <w:lvlText w:val="%1%2　"/>
      <w:lvlJc w:val="left"/>
      <w:pPr>
        <w:ind w:left="1276"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11164E5"/>
    <w:rsid w:val="00104AE7"/>
    <w:rsid w:val="0020659B"/>
    <w:rsid w:val="002A75EE"/>
    <w:rsid w:val="0038250E"/>
    <w:rsid w:val="003E1F61"/>
    <w:rsid w:val="006E02C7"/>
    <w:rsid w:val="0081302F"/>
    <w:rsid w:val="008770AF"/>
    <w:rsid w:val="009C4D74"/>
    <w:rsid w:val="00AB520C"/>
    <w:rsid w:val="00AF693D"/>
    <w:rsid w:val="00EA7A69"/>
    <w:rsid w:val="00F01DFF"/>
    <w:rsid w:val="0B557163"/>
    <w:rsid w:val="385A44C9"/>
    <w:rsid w:val="46602BF4"/>
    <w:rsid w:val="478F0B12"/>
    <w:rsid w:val="4D395D41"/>
    <w:rsid w:val="55EE20A8"/>
    <w:rsid w:val="5628418B"/>
    <w:rsid w:val="5D1E19C5"/>
    <w:rsid w:val="6BD85D34"/>
    <w:rsid w:val="6CD21985"/>
    <w:rsid w:val="6FAD73E9"/>
    <w:rsid w:val="711164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8250E"/>
    <w:pPr>
      <w:widowControl w:val="0"/>
      <w:jc w:val="both"/>
    </w:pPr>
    <w:rPr>
      <w:kern w:val="2"/>
      <w:sz w:val="21"/>
      <w:szCs w:val="24"/>
    </w:rPr>
  </w:style>
  <w:style w:type="paragraph" w:styleId="6">
    <w:name w:val="heading 6"/>
    <w:basedOn w:val="a0"/>
    <w:next w:val="a0"/>
    <w:qFormat/>
    <w:rsid w:val="0038250E"/>
    <w:pPr>
      <w:keepNext/>
      <w:keepLines/>
      <w:spacing w:before="240" w:after="64" w:line="320" w:lineRule="auto"/>
      <w:ind w:leftChars="100" w:left="210" w:rightChars="100" w:right="100"/>
      <w:outlineLvl w:val="5"/>
    </w:pPr>
    <w:rPr>
      <w:rFonts w:eastAsia="黑体"/>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qFormat/>
    <w:rsid w:val="003825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段"/>
    <w:link w:val="Char"/>
    <w:qFormat/>
    <w:rsid w:val="0038250E"/>
    <w:pPr>
      <w:autoSpaceDE w:val="0"/>
      <w:autoSpaceDN w:val="0"/>
      <w:ind w:firstLineChars="200" w:firstLine="200"/>
      <w:jc w:val="both"/>
    </w:pPr>
    <w:rPr>
      <w:rFonts w:ascii="宋体" w:eastAsia="宋体" w:hAnsi="Times New Roman" w:cs="Times New Roman"/>
      <w:sz w:val="21"/>
    </w:rPr>
  </w:style>
  <w:style w:type="paragraph" w:customStyle="1" w:styleId="a">
    <w:name w:val="章标题"/>
    <w:next w:val="a5"/>
    <w:qFormat/>
    <w:rsid w:val="0038250E"/>
    <w:pPr>
      <w:numPr>
        <w:ilvl w:val="1"/>
        <w:numId w:val="1"/>
      </w:numPr>
      <w:spacing w:beforeLines="50" w:afterLines="50"/>
      <w:jc w:val="both"/>
      <w:outlineLvl w:val="1"/>
    </w:pPr>
    <w:rPr>
      <w:rFonts w:ascii="宋体" w:eastAsia="宋体" w:hAnsi="宋体" w:cs="Times New Roman"/>
      <w:sz w:val="21"/>
    </w:rPr>
  </w:style>
  <w:style w:type="paragraph" w:styleId="a6">
    <w:name w:val="header"/>
    <w:basedOn w:val="a0"/>
    <w:link w:val="Char0"/>
    <w:rsid w:val="008770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rsid w:val="008770AF"/>
    <w:rPr>
      <w:kern w:val="2"/>
      <w:sz w:val="18"/>
      <w:szCs w:val="18"/>
    </w:rPr>
  </w:style>
  <w:style w:type="paragraph" w:styleId="a7">
    <w:name w:val="footer"/>
    <w:basedOn w:val="a0"/>
    <w:link w:val="Char1"/>
    <w:rsid w:val="008770AF"/>
    <w:pPr>
      <w:tabs>
        <w:tab w:val="center" w:pos="4153"/>
        <w:tab w:val="right" w:pos="8306"/>
      </w:tabs>
      <w:snapToGrid w:val="0"/>
      <w:jc w:val="left"/>
    </w:pPr>
    <w:rPr>
      <w:sz w:val="18"/>
      <w:szCs w:val="18"/>
    </w:rPr>
  </w:style>
  <w:style w:type="character" w:customStyle="1" w:styleId="Char1">
    <w:name w:val="页脚 Char"/>
    <w:basedOn w:val="a1"/>
    <w:link w:val="a7"/>
    <w:rsid w:val="008770AF"/>
    <w:rPr>
      <w:kern w:val="2"/>
      <w:sz w:val="18"/>
      <w:szCs w:val="18"/>
    </w:rPr>
  </w:style>
  <w:style w:type="paragraph" w:styleId="a8">
    <w:name w:val="Balloon Text"/>
    <w:basedOn w:val="a0"/>
    <w:link w:val="Char2"/>
    <w:rsid w:val="008770AF"/>
    <w:rPr>
      <w:sz w:val="18"/>
      <w:szCs w:val="18"/>
    </w:rPr>
  </w:style>
  <w:style w:type="character" w:customStyle="1" w:styleId="Char2">
    <w:name w:val="批注框文本 Char"/>
    <w:basedOn w:val="a1"/>
    <w:link w:val="a8"/>
    <w:rsid w:val="008770AF"/>
    <w:rPr>
      <w:kern w:val="2"/>
      <w:sz w:val="18"/>
      <w:szCs w:val="18"/>
    </w:rPr>
  </w:style>
  <w:style w:type="character" w:customStyle="1" w:styleId="Char">
    <w:name w:val="段 Char"/>
    <w:basedOn w:val="a1"/>
    <w:link w:val="a5"/>
    <w:rsid w:val="003E1F61"/>
    <w:rPr>
      <w:rFonts w:ascii="宋体" w:eastAsia="宋体" w:hAnsi="Times New Roman" w:cs="Times New Roman"/>
      <w:sz w:val="21"/>
    </w:rPr>
  </w:style>
  <w:style w:type="paragraph" w:styleId="a9">
    <w:name w:val="List Paragraph"/>
    <w:basedOn w:val="a0"/>
    <w:uiPriority w:val="99"/>
    <w:unhideWhenUsed/>
    <w:rsid w:val="003E1F6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990</TotalTime>
  <Pages>9</Pages>
  <Words>597</Words>
  <Characters>3405</Characters>
  <Application>Microsoft Office Word</Application>
  <DocSecurity>0</DocSecurity>
  <Lines>28</Lines>
  <Paragraphs>7</Paragraphs>
  <ScaleCrop>false</ScaleCrop>
  <Company/>
  <LinksUpToDate>false</LinksUpToDate>
  <CharactersWithSpaces>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9</cp:revision>
  <dcterms:created xsi:type="dcterms:W3CDTF">2024-12-30T07:26:00Z</dcterms:created>
  <dcterms:modified xsi:type="dcterms:W3CDTF">2025-02-20T00:25:00Z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839C4502AA834D848152556757BC5B7B_13</vt:lpwstr>
  </property>
  <property fmtid="{D5CDD505-2E9C-101B-9397-08002B2CF9AE}" pid="4" name="KSOTemplateDocerSaveRecord">
    <vt:lpwstr>eyJoZGlkIjoiOWU4YTRjMGNlOTkzYmQ4Y2I1N2IxOGE5OThhMmNkYTEifQ==</vt:lpwstr>
  </property>
</Properties>
</file>